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EA" w:rsidRPr="009A6BEA" w:rsidRDefault="009A6BEA" w:rsidP="009A6BEA">
      <w:pPr>
        <w:pStyle w:val="BodyTextIndent"/>
        <w:ind w:right="144"/>
        <w:rPr>
          <w:rFonts w:ascii="Arial" w:hAnsi="Arial" w:cs="Arial"/>
        </w:rPr>
      </w:pPr>
      <w:r w:rsidRPr="009A6BEA">
        <w:rPr>
          <w:rFonts w:ascii="Arial" w:hAnsi="Arial" w:cs="Arial"/>
        </w:rPr>
        <w:t>Immune System Response in Mice Fed a Diet of MON 810 Maize</w:t>
      </w:r>
    </w:p>
    <w:p w:rsidR="009A6BEA" w:rsidRDefault="009A6BEA" w:rsidP="001B7499">
      <w:pPr>
        <w:spacing w:after="0"/>
        <w:rPr>
          <w:rFonts w:ascii="Arial" w:hAnsi="Arial" w:cs="Arial"/>
          <w:b/>
          <w:bCs/>
          <w:color w:val="0000FF"/>
        </w:rPr>
      </w:pPr>
    </w:p>
    <w:p w:rsidR="00321C20" w:rsidRPr="00A00D99" w:rsidRDefault="00321C20" w:rsidP="001B7499">
      <w:pPr>
        <w:spacing w:after="0"/>
        <w:rPr>
          <w:rFonts w:ascii="Arial" w:hAnsi="Arial" w:cs="Arial"/>
          <w:b/>
          <w:bCs/>
          <w:color w:val="0000FF"/>
          <w:sz w:val="24"/>
          <w:szCs w:val="24"/>
        </w:rPr>
      </w:pPr>
      <w:r w:rsidRPr="00A00D99">
        <w:rPr>
          <w:rFonts w:ascii="Arial" w:hAnsi="Arial" w:cs="Arial"/>
          <w:b/>
          <w:bCs/>
          <w:color w:val="0000FF"/>
        </w:rPr>
        <w:t>Background</w:t>
      </w:r>
    </w:p>
    <w:p w:rsidR="00DB6C6C" w:rsidRDefault="00F3615D" w:rsidP="00DB6C6C">
      <w:pPr>
        <w:spacing w:after="120" w:line="240" w:lineRule="auto"/>
        <w:rPr>
          <w:rFonts w:ascii="Arial" w:hAnsi="Arial" w:cs="Arial"/>
        </w:rPr>
      </w:pPr>
      <w:r w:rsidRPr="002A43F1">
        <w:rPr>
          <w:rFonts w:ascii="Arial" w:hAnsi="Arial" w:cs="Arial"/>
        </w:rPr>
        <w:t xml:space="preserve">A report </w:t>
      </w:r>
      <w:r w:rsidR="00B94704" w:rsidRPr="002A43F1">
        <w:rPr>
          <w:rFonts w:ascii="Arial" w:hAnsi="Arial" w:cs="Arial"/>
        </w:rPr>
        <w:t xml:space="preserve">by Finamore et al. </w:t>
      </w:r>
      <w:r w:rsidRPr="002A43F1">
        <w:rPr>
          <w:rFonts w:ascii="Arial" w:hAnsi="Arial" w:cs="Arial"/>
        </w:rPr>
        <w:t xml:space="preserve">was released </w:t>
      </w:r>
      <w:r w:rsidR="00B94704" w:rsidRPr="002A43F1">
        <w:rPr>
          <w:rFonts w:ascii="Arial" w:hAnsi="Arial" w:cs="Arial"/>
        </w:rPr>
        <w:t>in the Journal of Agricultural and Food Chemistry titled, “</w:t>
      </w:r>
      <w:r w:rsidR="00F35BD6" w:rsidRPr="00706CA2">
        <w:rPr>
          <w:rFonts w:ascii="Arial" w:hAnsi="Arial" w:cs="Arial"/>
          <w:i/>
        </w:rPr>
        <w:t>Intestinal and Peripheral Immune Response to MON810 Maize Ingestion in</w:t>
      </w:r>
      <w:r w:rsidR="00B94704" w:rsidRPr="00706CA2">
        <w:rPr>
          <w:rFonts w:ascii="Arial" w:hAnsi="Arial" w:cs="Arial"/>
          <w:i/>
        </w:rPr>
        <w:t xml:space="preserve"> </w:t>
      </w:r>
      <w:r w:rsidR="00F35BD6" w:rsidRPr="00706CA2">
        <w:rPr>
          <w:rFonts w:ascii="Arial" w:hAnsi="Arial" w:cs="Arial"/>
          <w:i/>
        </w:rPr>
        <w:t>Weaning and Old Mice</w:t>
      </w:r>
      <w:r w:rsidR="00B94704" w:rsidRPr="00784389">
        <w:rPr>
          <w:rFonts w:ascii="Arial" w:hAnsi="Arial" w:cs="Arial"/>
        </w:rPr>
        <w:t>”</w:t>
      </w:r>
      <w:r w:rsidR="002A43F1" w:rsidRPr="00784389">
        <w:rPr>
          <w:rFonts w:ascii="Arial" w:hAnsi="Arial" w:cs="Arial"/>
        </w:rPr>
        <w:t>.</w:t>
      </w:r>
      <w:r w:rsidR="00784389" w:rsidRPr="00784389">
        <w:rPr>
          <w:rFonts w:ascii="Arial" w:hAnsi="Arial" w:cs="Arial"/>
        </w:rPr>
        <w:t xml:space="preserve">  </w:t>
      </w:r>
      <w:r w:rsidR="000E34E8">
        <w:rPr>
          <w:rFonts w:ascii="Arial" w:hAnsi="Arial" w:cs="Arial"/>
        </w:rPr>
        <w:t>The authors’ stated in their conclusion:</w:t>
      </w:r>
    </w:p>
    <w:p w:rsidR="000E34E8" w:rsidRPr="000E34E8" w:rsidRDefault="005A5EFA" w:rsidP="000E34E8">
      <w:pPr>
        <w:autoSpaceDE w:val="0"/>
        <w:autoSpaceDN w:val="0"/>
        <w:adjustRightInd w:val="0"/>
        <w:spacing w:after="0" w:line="240" w:lineRule="auto"/>
        <w:ind w:left="720"/>
        <w:rPr>
          <w:rFonts w:ascii="Arial" w:eastAsia="Calibri" w:hAnsi="Arial" w:cs="Arial"/>
          <w:i/>
          <w:sz w:val="20"/>
          <w:szCs w:val="20"/>
        </w:rPr>
      </w:pPr>
      <w:r>
        <w:rPr>
          <w:rFonts w:ascii="Arial" w:eastAsia="Calibri" w:hAnsi="Arial" w:cs="Arial"/>
          <w:i/>
          <w:sz w:val="20"/>
          <w:szCs w:val="20"/>
        </w:rPr>
        <w:t>“</w:t>
      </w:r>
      <w:r w:rsidR="000E34E8">
        <w:rPr>
          <w:rFonts w:ascii="Arial" w:eastAsia="Calibri" w:hAnsi="Arial" w:cs="Arial"/>
          <w:i/>
          <w:sz w:val="20"/>
          <w:szCs w:val="20"/>
        </w:rPr>
        <w:t>…</w:t>
      </w:r>
      <w:r w:rsidR="000E34E8" w:rsidRPr="000E34E8">
        <w:rPr>
          <w:rFonts w:ascii="Arial" w:eastAsia="Calibri" w:hAnsi="Arial" w:cs="Arial"/>
          <w:i/>
          <w:sz w:val="20"/>
          <w:szCs w:val="20"/>
        </w:rPr>
        <w:t xml:space="preserve"> the results obtained indicate that the consumption of MON810 maize used in the present study induced alterations in intestinal and peripheral immune response of weaning and old mice. Although the significance of these data remains to be clarified to establish whether these alterations reflect significant immune dysfunctions, these results suggest the importance of considering the gut and peripheral immune response to the whole GM crop, as well as the age, in the GMO safety evaluation.</w:t>
      </w:r>
      <w:r>
        <w:rPr>
          <w:rFonts w:ascii="Arial" w:eastAsia="Calibri" w:hAnsi="Arial" w:cs="Arial"/>
          <w:i/>
          <w:sz w:val="20"/>
          <w:szCs w:val="20"/>
        </w:rPr>
        <w:t>”</w:t>
      </w:r>
    </w:p>
    <w:p w:rsidR="000E34E8" w:rsidRPr="000E34E8" w:rsidRDefault="000E34E8" w:rsidP="000E34E8">
      <w:pPr>
        <w:autoSpaceDE w:val="0"/>
        <w:autoSpaceDN w:val="0"/>
        <w:adjustRightInd w:val="0"/>
        <w:spacing w:after="0" w:line="240" w:lineRule="auto"/>
        <w:rPr>
          <w:rFonts w:ascii="Arial" w:hAnsi="Arial" w:cs="Arial"/>
          <w:sz w:val="20"/>
          <w:szCs w:val="20"/>
        </w:rPr>
      </w:pPr>
    </w:p>
    <w:p w:rsidR="002A43F1" w:rsidRDefault="009528FE" w:rsidP="00DB6C6C">
      <w:pPr>
        <w:spacing w:after="120" w:line="240" w:lineRule="auto"/>
        <w:rPr>
          <w:rFonts w:ascii="Arial" w:hAnsi="Arial" w:cs="Arial"/>
        </w:rPr>
      </w:pPr>
      <w:r>
        <w:rPr>
          <w:rFonts w:ascii="Arial" w:hAnsi="Arial" w:cs="Arial"/>
        </w:rPr>
        <w:t xml:space="preserve">The following response is intended to address potential questions about the study findings in the broader context of existing published research studies and the weight of evidence </w:t>
      </w:r>
      <w:r w:rsidR="00D1300A">
        <w:rPr>
          <w:rFonts w:ascii="Arial" w:hAnsi="Arial" w:cs="Arial"/>
        </w:rPr>
        <w:t>approach</w:t>
      </w:r>
      <w:r>
        <w:rPr>
          <w:rFonts w:ascii="Arial" w:hAnsi="Arial" w:cs="Arial"/>
        </w:rPr>
        <w:t xml:space="preserve"> </w:t>
      </w:r>
      <w:r w:rsidR="00D1300A">
        <w:rPr>
          <w:rFonts w:ascii="Arial" w:hAnsi="Arial" w:cs="Arial"/>
        </w:rPr>
        <w:t>in addressing the</w:t>
      </w:r>
      <w:r>
        <w:rPr>
          <w:rFonts w:ascii="Arial" w:hAnsi="Arial" w:cs="Arial"/>
        </w:rPr>
        <w:t xml:space="preserve"> safety of MON 810 </w:t>
      </w:r>
      <w:r w:rsidR="00D1300A">
        <w:rPr>
          <w:rFonts w:ascii="Arial" w:hAnsi="Arial" w:cs="Arial"/>
        </w:rPr>
        <w:t>as well as for</w:t>
      </w:r>
      <w:r>
        <w:rPr>
          <w:rFonts w:ascii="Arial" w:hAnsi="Arial" w:cs="Arial"/>
        </w:rPr>
        <w:t xml:space="preserve"> </w:t>
      </w:r>
      <w:r w:rsidR="007E7A0B">
        <w:rPr>
          <w:rFonts w:ascii="Arial" w:hAnsi="Arial" w:cs="Arial"/>
        </w:rPr>
        <w:t>GM crops generally.</w:t>
      </w:r>
    </w:p>
    <w:p w:rsidR="0024131B" w:rsidRPr="002A43F1" w:rsidRDefault="0024131B" w:rsidP="00DB6C6C">
      <w:pPr>
        <w:spacing w:after="120" w:line="240" w:lineRule="auto"/>
        <w:rPr>
          <w:rFonts w:ascii="Arial" w:hAnsi="Arial" w:cs="Arial"/>
        </w:rPr>
      </w:pPr>
    </w:p>
    <w:p w:rsidR="002C5026" w:rsidRDefault="002C5026" w:rsidP="001B7499">
      <w:pPr>
        <w:spacing w:after="0" w:line="240" w:lineRule="auto"/>
        <w:rPr>
          <w:rFonts w:ascii="Arial" w:hAnsi="Arial" w:cs="Arial"/>
          <w:b/>
          <w:color w:val="0000FF"/>
        </w:rPr>
      </w:pPr>
      <w:r w:rsidRPr="0022022A">
        <w:rPr>
          <w:rFonts w:ascii="Arial" w:hAnsi="Arial" w:cs="Arial"/>
          <w:b/>
          <w:color w:val="0000FF"/>
        </w:rPr>
        <w:t>Additional Resources</w:t>
      </w:r>
    </w:p>
    <w:p w:rsidR="0022022A" w:rsidRPr="002A43F1" w:rsidRDefault="00216E5D" w:rsidP="005D10B9">
      <w:pPr>
        <w:spacing w:after="120" w:line="240" w:lineRule="auto"/>
        <w:rPr>
          <w:rFonts w:ascii="Arial" w:hAnsi="Arial" w:cs="Arial"/>
        </w:rPr>
      </w:pPr>
      <w:r w:rsidRPr="002A43F1">
        <w:rPr>
          <w:rFonts w:ascii="Arial" w:hAnsi="Arial" w:cs="Arial"/>
        </w:rPr>
        <w:t xml:space="preserve">Report </w:t>
      </w:r>
      <w:r w:rsidR="00A61EF5" w:rsidRPr="002A43F1">
        <w:rPr>
          <w:rFonts w:ascii="Arial" w:hAnsi="Arial" w:cs="Arial"/>
        </w:rPr>
        <w:t>a</w:t>
      </w:r>
      <w:r w:rsidRPr="002A43F1">
        <w:rPr>
          <w:rFonts w:ascii="Arial" w:hAnsi="Arial" w:cs="Arial"/>
        </w:rPr>
        <w:t>bstract</w:t>
      </w:r>
      <w:r w:rsidR="00A61EF5" w:rsidRPr="002A43F1">
        <w:rPr>
          <w:rFonts w:ascii="Arial" w:hAnsi="Arial" w:cs="Arial"/>
        </w:rPr>
        <w:t xml:space="preserve"> available at</w:t>
      </w:r>
      <w:r w:rsidRPr="002A43F1">
        <w:rPr>
          <w:rFonts w:ascii="Arial" w:hAnsi="Arial" w:cs="Arial"/>
        </w:rPr>
        <w:t>:</w:t>
      </w:r>
      <w:r w:rsidRPr="002A43F1">
        <w:rPr>
          <w:rFonts w:ascii="Arial" w:hAnsi="Arial" w:cs="Arial"/>
        </w:rPr>
        <w:tab/>
      </w:r>
      <w:hyperlink r:id="rId7" w:history="1">
        <w:r w:rsidRPr="002A43F1">
          <w:rPr>
            <w:rStyle w:val="Hyperlink"/>
            <w:rFonts w:ascii="Arial" w:hAnsi="Arial" w:cs="Arial"/>
          </w:rPr>
          <w:t>http://pubs.acs.org/doi/abs/10.1021/jf802059w</w:t>
        </w:r>
      </w:hyperlink>
    </w:p>
    <w:p w:rsidR="0024131B" w:rsidRPr="00DE062A" w:rsidRDefault="0024131B" w:rsidP="0024131B">
      <w:pPr>
        <w:tabs>
          <w:tab w:val="left" w:pos="2160"/>
          <w:tab w:val="left" w:pos="2520"/>
        </w:tabs>
        <w:autoSpaceDE w:val="0"/>
        <w:autoSpaceDN w:val="0"/>
        <w:adjustRightInd w:val="0"/>
        <w:spacing w:after="0" w:line="240" w:lineRule="auto"/>
        <w:ind w:right="144"/>
        <w:rPr>
          <w:rFonts w:ascii="Arial" w:hAnsi="Arial" w:cs="Arial"/>
          <w:bCs/>
        </w:rPr>
      </w:pPr>
    </w:p>
    <w:p w:rsidR="009E0CB0" w:rsidRDefault="009E0CB0" w:rsidP="009E0CB0">
      <w:pPr>
        <w:spacing w:after="0"/>
      </w:pPr>
      <w:r>
        <w:rPr>
          <w:rFonts w:ascii="Arial" w:hAnsi="Arial" w:cs="Arial"/>
          <w:b/>
          <w:bCs/>
          <w:color w:val="0000FF"/>
        </w:rPr>
        <w:t xml:space="preserve">Key </w:t>
      </w:r>
      <w:r w:rsidR="004F79F3">
        <w:rPr>
          <w:rFonts w:ascii="Arial" w:hAnsi="Arial" w:cs="Arial"/>
          <w:b/>
          <w:bCs/>
          <w:color w:val="0000FF"/>
        </w:rPr>
        <w:t>Points</w:t>
      </w:r>
    </w:p>
    <w:p w:rsidR="00195902" w:rsidRPr="005A2012" w:rsidRDefault="009E0CB0" w:rsidP="00700360">
      <w:pPr>
        <w:pStyle w:val="PlainText"/>
        <w:numPr>
          <w:ilvl w:val="0"/>
          <w:numId w:val="32"/>
        </w:numPr>
        <w:spacing w:afterLines="60"/>
        <w:rPr>
          <w:rFonts w:ascii="Arial" w:hAnsi="Arial" w:cs="Arial"/>
          <w:sz w:val="22"/>
          <w:szCs w:val="22"/>
        </w:rPr>
      </w:pPr>
      <w:r w:rsidRPr="00784389">
        <w:rPr>
          <w:rFonts w:ascii="Arial" w:hAnsi="Arial" w:cs="Arial"/>
          <w:b/>
          <w:sz w:val="22"/>
          <w:szCs w:val="22"/>
        </w:rPr>
        <w:t>The authors</w:t>
      </w:r>
      <w:r>
        <w:rPr>
          <w:rFonts w:ascii="Arial" w:hAnsi="Arial" w:cs="Arial"/>
          <w:b/>
          <w:sz w:val="22"/>
          <w:szCs w:val="22"/>
        </w:rPr>
        <w:t xml:space="preserve"> found </w:t>
      </w:r>
      <w:r w:rsidR="00D1300A">
        <w:rPr>
          <w:rFonts w:ascii="Arial" w:hAnsi="Arial" w:cs="Arial"/>
          <w:b/>
          <w:sz w:val="22"/>
          <w:szCs w:val="22"/>
        </w:rPr>
        <w:t xml:space="preserve">a </w:t>
      </w:r>
      <w:r w:rsidRPr="00784389">
        <w:rPr>
          <w:rFonts w:ascii="Arial" w:hAnsi="Arial" w:cs="Arial"/>
          <w:b/>
          <w:sz w:val="22"/>
          <w:szCs w:val="22"/>
        </w:rPr>
        <w:t xml:space="preserve">shift in </w:t>
      </w:r>
      <w:r w:rsidR="00195902">
        <w:rPr>
          <w:rFonts w:ascii="Arial" w:hAnsi="Arial" w:cs="Arial"/>
          <w:b/>
          <w:sz w:val="22"/>
          <w:szCs w:val="22"/>
        </w:rPr>
        <w:t xml:space="preserve">a number of measures which reflect </w:t>
      </w:r>
      <w:r w:rsidR="00D1300A">
        <w:rPr>
          <w:rFonts w:ascii="Arial" w:hAnsi="Arial" w:cs="Arial"/>
          <w:b/>
          <w:sz w:val="22"/>
          <w:szCs w:val="22"/>
        </w:rPr>
        <w:t xml:space="preserve">the number of </w:t>
      </w:r>
      <w:r w:rsidR="00195902">
        <w:rPr>
          <w:rFonts w:ascii="Arial" w:hAnsi="Arial" w:cs="Arial"/>
          <w:b/>
          <w:sz w:val="22"/>
          <w:szCs w:val="22"/>
        </w:rPr>
        <w:t xml:space="preserve">immune cell types and </w:t>
      </w:r>
      <w:r w:rsidR="00D1300A">
        <w:rPr>
          <w:rFonts w:ascii="Arial" w:hAnsi="Arial" w:cs="Arial"/>
          <w:b/>
          <w:sz w:val="22"/>
          <w:szCs w:val="22"/>
        </w:rPr>
        <w:t xml:space="preserve">in the </w:t>
      </w:r>
      <w:r w:rsidR="00195902">
        <w:rPr>
          <w:rFonts w:ascii="Arial" w:hAnsi="Arial" w:cs="Arial"/>
          <w:b/>
          <w:sz w:val="22"/>
          <w:szCs w:val="22"/>
        </w:rPr>
        <w:t xml:space="preserve">immune system </w:t>
      </w:r>
      <w:r w:rsidR="00D1300A">
        <w:rPr>
          <w:rFonts w:ascii="Arial" w:hAnsi="Arial" w:cs="Arial"/>
          <w:b/>
          <w:sz w:val="22"/>
          <w:szCs w:val="22"/>
        </w:rPr>
        <w:t>chemicals used for inter-cellular</w:t>
      </w:r>
      <w:r w:rsidR="00195902">
        <w:rPr>
          <w:rFonts w:ascii="Arial" w:hAnsi="Arial" w:cs="Arial"/>
          <w:b/>
          <w:sz w:val="22"/>
          <w:szCs w:val="22"/>
        </w:rPr>
        <w:t xml:space="preserve"> communications. </w:t>
      </w:r>
      <w:r w:rsidR="0098345B">
        <w:rPr>
          <w:rFonts w:ascii="Arial" w:hAnsi="Arial" w:cs="Arial"/>
          <w:b/>
          <w:sz w:val="22"/>
          <w:szCs w:val="22"/>
        </w:rPr>
        <w:t xml:space="preserve"> </w:t>
      </w:r>
      <w:r w:rsidR="00195902">
        <w:rPr>
          <w:rFonts w:ascii="Arial" w:hAnsi="Arial" w:cs="Arial"/>
          <w:b/>
          <w:sz w:val="22"/>
          <w:szCs w:val="22"/>
        </w:rPr>
        <w:t xml:space="preserve">The authors </w:t>
      </w:r>
      <w:r w:rsidRPr="00784389">
        <w:rPr>
          <w:rFonts w:ascii="Arial" w:hAnsi="Arial" w:cs="Arial"/>
          <w:b/>
          <w:sz w:val="22"/>
          <w:szCs w:val="22"/>
        </w:rPr>
        <w:t xml:space="preserve">concede </w:t>
      </w:r>
      <w:r w:rsidR="00195902">
        <w:rPr>
          <w:rFonts w:ascii="Arial" w:hAnsi="Arial" w:cs="Arial"/>
          <w:b/>
          <w:sz w:val="22"/>
          <w:szCs w:val="22"/>
        </w:rPr>
        <w:t>(see quotation above) that the meaning of these findings is not clear</w:t>
      </w:r>
      <w:r w:rsidRPr="00784389">
        <w:rPr>
          <w:rFonts w:ascii="Arial" w:hAnsi="Arial" w:cs="Arial"/>
          <w:b/>
          <w:sz w:val="22"/>
          <w:szCs w:val="22"/>
        </w:rPr>
        <w:t>.</w:t>
      </w:r>
      <w:r w:rsidR="00971717">
        <w:rPr>
          <w:rFonts w:ascii="Arial" w:hAnsi="Arial" w:cs="Arial"/>
          <w:b/>
          <w:sz w:val="22"/>
          <w:szCs w:val="22"/>
        </w:rPr>
        <w:t xml:space="preserve">  The changes noted by the authors have not been directly linked to the biotech trait.</w:t>
      </w:r>
      <w:r w:rsidR="005A2012">
        <w:rPr>
          <w:rFonts w:ascii="Arial" w:hAnsi="Arial" w:cs="Arial"/>
          <w:b/>
          <w:sz w:val="22"/>
          <w:szCs w:val="22"/>
        </w:rPr>
        <w:t xml:space="preserve">  </w:t>
      </w:r>
      <w:r w:rsidR="005A2012" w:rsidRPr="005A2012">
        <w:rPr>
          <w:rFonts w:ascii="Arial" w:hAnsi="Arial" w:cs="Arial"/>
          <w:b/>
          <w:sz w:val="22"/>
          <w:szCs w:val="22"/>
        </w:rPr>
        <w:t xml:space="preserve">The authors </w:t>
      </w:r>
      <w:r w:rsidR="007002B8">
        <w:rPr>
          <w:rFonts w:ascii="Arial" w:hAnsi="Arial" w:cs="Arial"/>
          <w:b/>
          <w:sz w:val="22"/>
          <w:szCs w:val="22"/>
        </w:rPr>
        <w:t>state</w:t>
      </w:r>
      <w:r w:rsidR="005A2012" w:rsidRPr="005A2012">
        <w:rPr>
          <w:rFonts w:ascii="Arial" w:hAnsi="Arial" w:cs="Arial"/>
          <w:b/>
          <w:sz w:val="22"/>
          <w:szCs w:val="22"/>
        </w:rPr>
        <w:t xml:space="preserve"> that there may be </w:t>
      </w:r>
      <w:r w:rsidR="007002B8">
        <w:rPr>
          <w:rFonts w:ascii="Arial" w:hAnsi="Arial" w:cs="Arial"/>
          <w:b/>
          <w:sz w:val="22"/>
          <w:szCs w:val="22"/>
        </w:rPr>
        <w:t>variables</w:t>
      </w:r>
      <w:r w:rsidR="005A2012" w:rsidRPr="005A2012">
        <w:rPr>
          <w:rFonts w:ascii="Arial" w:hAnsi="Arial" w:cs="Arial"/>
          <w:b/>
          <w:sz w:val="22"/>
          <w:szCs w:val="22"/>
        </w:rPr>
        <w:t xml:space="preserve"> other than the presence of Cry1Ab which may account for these findings</w:t>
      </w:r>
      <w:r w:rsidR="005A2012">
        <w:rPr>
          <w:rFonts w:ascii="Arial" w:hAnsi="Arial" w:cs="Arial"/>
          <w:b/>
          <w:sz w:val="22"/>
          <w:szCs w:val="22"/>
        </w:rPr>
        <w:t xml:space="preserve">, for example varying </w:t>
      </w:r>
      <w:r w:rsidR="007002B8">
        <w:rPr>
          <w:rFonts w:ascii="Arial" w:hAnsi="Arial" w:cs="Arial"/>
          <w:b/>
          <w:sz w:val="22"/>
          <w:szCs w:val="22"/>
        </w:rPr>
        <w:t xml:space="preserve">mycotoxin </w:t>
      </w:r>
      <w:r w:rsidR="005A2012">
        <w:rPr>
          <w:rFonts w:ascii="Arial" w:hAnsi="Arial" w:cs="Arial"/>
          <w:b/>
          <w:sz w:val="22"/>
          <w:szCs w:val="22"/>
        </w:rPr>
        <w:t>levels</w:t>
      </w:r>
      <w:r w:rsidR="005A2012" w:rsidRPr="005A2012">
        <w:rPr>
          <w:rFonts w:ascii="Arial" w:hAnsi="Arial" w:cs="Arial"/>
          <w:b/>
          <w:sz w:val="22"/>
          <w:szCs w:val="22"/>
        </w:rPr>
        <w:t>.</w:t>
      </w:r>
    </w:p>
    <w:p w:rsidR="009E0CB0" w:rsidRPr="00401DB2" w:rsidRDefault="009E0CB0" w:rsidP="00700360">
      <w:pPr>
        <w:pStyle w:val="PlainText"/>
        <w:numPr>
          <w:ilvl w:val="1"/>
          <w:numId w:val="32"/>
        </w:numPr>
        <w:spacing w:afterLines="60"/>
        <w:rPr>
          <w:rFonts w:ascii="Arial" w:hAnsi="Arial" w:cs="Arial"/>
          <w:sz w:val="22"/>
          <w:szCs w:val="22"/>
        </w:rPr>
      </w:pPr>
      <w:r w:rsidRPr="00401DB2">
        <w:rPr>
          <w:rFonts w:ascii="Arial" w:hAnsi="Arial" w:cs="Arial"/>
          <w:sz w:val="22"/>
          <w:szCs w:val="22"/>
        </w:rPr>
        <w:t xml:space="preserve">The changes reported are not </w:t>
      </w:r>
      <w:r w:rsidR="00195902" w:rsidRPr="00401DB2">
        <w:rPr>
          <w:rFonts w:ascii="Arial" w:hAnsi="Arial" w:cs="Arial"/>
          <w:sz w:val="22"/>
          <w:szCs w:val="22"/>
        </w:rPr>
        <w:t>associated with any known health effects</w:t>
      </w:r>
      <w:r w:rsidR="00D1300A" w:rsidRPr="00401DB2">
        <w:rPr>
          <w:rFonts w:ascii="Arial" w:hAnsi="Arial" w:cs="Arial"/>
          <w:sz w:val="22"/>
          <w:szCs w:val="22"/>
        </w:rPr>
        <w:t xml:space="preserve">, either in the animals </w:t>
      </w:r>
      <w:r w:rsidR="00D035E4" w:rsidRPr="00401DB2">
        <w:rPr>
          <w:rFonts w:ascii="Arial" w:hAnsi="Arial" w:cs="Arial"/>
          <w:sz w:val="22"/>
          <w:szCs w:val="22"/>
        </w:rPr>
        <w:t>or</w:t>
      </w:r>
      <w:r w:rsidR="00D1300A" w:rsidRPr="00401DB2">
        <w:rPr>
          <w:rFonts w:ascii="Arial" w:hAnsi="Arial" w:cs="Arial"/>
          <w:sz w:val="22"/>
          <w:szCs w:val="22"/>
        </w:rPr>
        <w:t xml:space="preserve"> humans</w:t>
      </w:r>
      <w:r w:rsidRPr="00401DB2">
        <w:rPr>
          <w:rFonts w:ascii="Arial" w:hAnsi="Arial" w:cs="Arial"/>
          <w:sz w:val="22"/>
          <w:szCs w:val="22"/>
        </w:rPr>
        <w:t>.</w:t>
      </w:r>
    </w:p>
    <w:p w:rsidR="009E0CB0" w:rsidRPr="00401DB2" w:rsidRDefault="00195902" w:rsidP="00700360">
      <w:pPr>
        <w:pStyle w:val="PlainText"/>
        <w:numPr>
          <w:ilvl w:val="1"/>
          <w:numId w:val="32"/>
        </w:numPr>
        <w:spacing w:afterLines="60"/>
        <w:rPr>
          <w:rFonts w:ascii="Arial" w:hAnsi="Arial" w:cs="Arial"/>
          <w:sz w:val="22"/>
          <w:szCs w:val="22"/>
        </w:rPr>
      </w:pPr>
      <w:r w:rsidRPr="00401DB2">
        <w:rPr>
          <w:rFonts w:ascii="Arial" w:hAnsi="Arial" w:cs="Arial"/>
          <w:sz w:val="22"/>
          <w:szCs w:val="22"/>
        </w:rPr>
        <w:t xml:space="preserve">The immune system normally responds to a wide variety of stimuli. </w:t>
      </w:r>
      <w:r w:rsidR="00093919" w:rsidRPr="00401DB2">
        <w:rPr>
          <w:rFonts w:ascii="Arial" w:hAnsi="Arial" w:cs="Arial"/>
          <w:sz w:val="22"/>
          <w:szCs w:val="22"/>
        </w:rPr>
        <w:t>The</w:t>
      </w:r>
      <w:r w:rsidR="00AC2419" w:rsidRPr="00401DB2">
        <w:rPr>
          <w:rFonts w:ascii="Arial" w:hAnsi="Arial" w:cs="Arial"/>
          <w:sz w:val="22"/>
          <w:szCs w:val="22"/>
        </w:rPr>
        <w:t>re is no evidence that the</w:t>
      </w:r>
      <w:r w:rsidR="009E0CB0" w:rsidRPr="00401DB2">
        <w:rPr>
          <w:rFonts w:ascii="Arial" w:hAnsi="Arial" w:cs="Arial"/>
          <w:sz w:val="22"/>
          <w:szCs w:val="22"/>
        </w:rPr>
        <w:t xml:space="preserve"> </w:t>
      </w:r>
      <w:r w:rsidR="00AC2419" w:rsidRPr="00401DB2">
        <w:rPr>
          <w:rFonts w:ascii="Arial" w:hAnsi="Arial" w:cs="Arial"/>
          <w:sz w:val="22"/>
          <w:szCs w:val="22"/>
        </w:rPr>
        <w:t xml:space="preserve">observed effects </w:t>
      </w:r>
      <w:r w:rsidRPr="00401DB2">
        <w:rPr>
          <w:rFonts w:ascii="Arial" w:hAnsi="Arial" w:cs="Arial"/>
          <w:sz w:val="22"/>
          <w:szCs w:val="22"/>
        </w:rPr>
        <w:t xml:space="preserve">represent any kind of </w:t>
      </w:r>
      <w:r w:rsidR="00093919" w:rsidRPr="00401DB2">
        <w:rPr>
          <w:rFonts w:ascii="Arial" w:hAnsi="Arial" w:cs="Arial"/>
          <w:sz w:val="22"/>
          <w:szCs w:val="22"/>
        </w:rPr>
        <w:t>abnormal</w:t>
      </w:r>
      <w:r w:rsidRPr="00401DB2">
        <w:rPr>
          <w:rFonts w:ascii="Arial" w:hAnsi="Arial" w:cs="Arial"/>
          <w:sz w:val="22"/>
          <w:szCs w:val="22"/>
        </w:rPr>
        <w:t xml:space="preserve"> response</w:t>
      </w:r>
      <w:r w:rsidR="009E0CB0" w:rsidRPr="00401DB2">
        <w:rPr>
          <w:rFonts w:ascii="Arial" w:hAnsi="Arial" w:cs="Arial"/>
          <w:sz w:val="22"/>
          <w:szCs w:val="22"/>
        </w:rPr>
        <w:t>.</w:t>
      </w:r>
    </w:p>
    <w:p w:rsidR="00CC0A27" w:rsidRPr="00401DB2" w:rsidRDefault="00CC0A27" w:rsidP="00700360">
      <w:pPr>
        <w:pStyle w:val="PlainText"/>
        <w:numPr>
          <w:ilvl w:val="1"/>
          <w:numId w:val="32"/>
        </w:numPr>
        <w:spacing w:afterLines="60"/>
        <w:rPr>
          <w:rFonts w:ascii="Arial" w:hAnsi="Arial" w:cs="Arial"/>
          <w:sz w:val="22"/>
          <w:szCs w:val="22"/>
        </w:rPr>
      </w:pPr>
      <w:r w:rsidRPr="00401DB2">
        <w:rPr>
          <w:rFonts w:ascii="Arial" w:hAnsi="Arial" w:cs="Arial"/>
          <w:sz w:val="22"/>
          <w:szCs w:val="22"/>
        </w:rPr>
        <w:t>Changes in the immune system, even if present, do not necessarily translate into lack of safety.</w:t>
      </w:r>
      <w:r w:rsidR="0098345B" w:rsidRPr="00401DB2">
        <w:rPr>
          <w:rFonts w:ascii="Arial" w:hAnsi="Arial" w:cs="Arial"/>
          <w:sz w:val="22"/>
          <w:szCs w:val="22"/>
        </w:rPr>
        <w:t xml:space="preserve"> </w:t>
      </w:r>
      <w:r w:rsidRPr="00401DB2">
        <w:rPr>
          <w:rFonts w:ascii="Arial" w:hAnsi="Arial" w:cs="Arial"/>
          <w:sz w:val="22"/>
          <w:szCs w:val="22"/>
        </w:rPr>
        <w:t xml:space="preserve"> Many foods and food components</w:t>
      </w:r>
      <w:r w:rsidR="00C34FD8" w:rsidRPr="00401DB2">
        <w:rPr>
          <w:rFonts w:ascii="Arial" w:hAnsi="Arial" w:cs="Arial"/>
          <w:sz w:val="22"/>
          <w:szCs w:val="22"/>
        </w:rPr>
        <w:t>,</w:t>
      </w:r>
      <w:r w:rsidRPr="00401DB2">
        <w:rPr>
          <w:rFonts w:ascii="Arial" w:hAnsi="Arial" w:cs="Arial"/>
          <w:sz w:val="22"/>
          <w:szCs w:val="22"/>
        </w:rPr>
        <w:t xml:space="preserve"> which are routinely consumed</w:t>
      </w:r>
      <w:r w:rsidR="00C34FD8" w:rsidRPr="00401DB2">
        <w:rPr>
          <w:rFonts w:ascii="Arial" w:hAnsi="Arial" w:cs="Arial"/>
          <w:sz w:val="22"/>
          <w:szCs w:val="22"/>
        </w:rPr>
        <w:t>,</w:t>
      </w:r>
      <w:r w:rsidRPr="00401DB2">
        <w:rPr>
          <w:rFonts w:ascii="Arial" w:hAnsi="Arial" w:cs="Arial"/>
          <w:sz w:val="22"/>
          <w:szCs w:val="22"/>
        </w:rPr>
        <w:t xml:space="preserve"> </w:t>
      </w:r>
      <w:r w:rsidR="00C34FD8" w:rsidRPr="00401DB2">
        <w:rPr>
          <w:rFonts w:ascii="Arial" w:hAnsi="Arial" w:cs="Arial"/>
          <w:sz w:val="22"/>
          <w:szCs w:val="22"/>
        </w:rPr>
        <w:t xml:space="preserve">are known to </w:t>
      </w:r>
      <w:r w:rsidRPr="00401DB2">
        <w:rPr>
          <w:rFonts w:ascii="Arial" w:hAnsi="Arial" w:cs="Arial"/>
          <w:sz w:val="22"/>
          <w:szCs w:val="22"/>
        </w:rPr>
        <w:t>modulate the immune system</w:t>
      </w:r>
      <w:r w:rsidR="00C34FD8" w:rsidRPr="00401DB2">
        <w:rPr>
          <w:rFonts w:ascii="Arial" w:hAnsi="Arial" w:cs="Arial"/>
          <w:sz w:val="22"/>
          <w:szCs w:val="22"/>
        </w:rPr>
        <w:t>,</w:t>
      </w:r>
      <w:r w:rsidRPr="00401DB2">
        <w:rPr>
          <w:rFonts w:ascii="Arial" w:hAnsi="Arial" w:cs="Arial"/>
          <w:sz w:val="22"/>
          <w:szCs w:val="22"/>
        </w:rPr>
        <w:t xml:space="preserve"> </w:t>
      </w:r>
      <w:r w:rsidR="00C34FD8" w:rsidRPr="00401DB2">
        <w:rPr>
          <w:rFonts w:ascii="Arial" w:hAnsi="Arial" w:cs="Arial"/>
          <w:sz w:val="22"/>
          <w:szCs w:val="22"/>
        </w:rPr>
        <w:t xml:space="preserve">e.g., </w:t>
      </w:r>
      <w:r w:rsidRPr="00401DB2">
        <w:rPr>
          <w:rFonts w:ascii="Arial" w:hAnsi="Arial" w:cs="Arial"/>
          <w:sz w:val="22"/>
          <w:szCs w:val="22"/>
        </w:rPr>
        <w:t>fish oil, omega-3 and omega-6 fats</w:t>
      </w:r>
      <w:r w:rsidR="00560294" w:rsidRPr="00401DB2">
        <w:rPr>
          <w:rFonts w:ascii="Arial" w:hAnsi="Arial" w:cs="Arial"/>
          <w:sz w:val="22"/>
          <w:szCs w:val="22"/>
        </w:rPr>
        <w:t xml:space="preserve"> </w:t>
      </w:r>
      <w:r w:rsidRPr="00401DB2">
        <w:rPr>
          <w:rFonts w:ascii="Arial" w:hAnsi="Arial" w:cs="Arial"/>
          <w:sz w:val="22"/>
          <w:szCs w:val="22"/>
        </w:rPr>
        <w:t>etc.).</w:t>
      </w:r>
    </w:p>
    <w:p w:rsidR="00195902" w:rsidRDefault="00195902" w:rsidP="00700360">
      <w:pPr>
        <w:pStyle w:val="PlainText"/>
        <w:numPr>
          <w:ilvl w:val="0"/>
          <w:numId w:val="32"/>
        </w:numPr>
        <w:spacing w:afterLines="60"/>
        <w:rPr>
          <w:rFonts w:ascii="Arial" w:hAnsi="Arial" w:cs="Arial"/>
          <w:b/>
          <w:sz w:val="22"/>
          <w:szCs w:val="22"/>
        </w:rPr>
      </w:pPr>
      <w:r w:rsidRPr="00195902">
        <w:rPr>
          <w:rFonts w:ascii="Arial" w:hAnsi="Arial" w:cs="Arial"/>
          <w:b/>
          <w:sz w:val="22"/>
          <w:szCs w:val="22"/>
        </w:rPr>
        <w:t>The te</w:t>
      </w:r>
      <w:r>
        <w:rPr>
          <w:rFonts w:ascii="Arial" w:hAnsi="Arial" w:cs="Arial"/>
          <w:b/>
          <w:sz w:val="22"/>
          <w:szCs w:val="22"/>
        </w:rPr>
        <w:t xml:space="preserve">st system used by the authors </w:t>
      </w:r>
      <w:r w:rsidR="00971717">
        <w:rPr>
          <w:rFonts w:ascii="Arial" w:hAnsi="Arial" w:cs="Arial"/>
          <w:b/>
          <w:sz w:val="22"/>
          <w:szCs w:val="22"/>
        </w:rPr>
        <w:t xml:space="preserve">cannot yet be relied on.  It </w:t>
      </w:r>
      <w:r>
        <w:rPr>
          <w:rFonts w:ascii="Arial" w:hAnsi="Arial" w:cs="Arial"/>
          <w:b/>
          <w:sz w:val="22"/>
          <w:szCs w:val="22"/>
        </w:rPr>
        <w:t>has not previously been used to assess food safety</w:t>
      </w:r>
      <w:r w:rsidR="000E26EC">
        <w:rPr>
          <w:rFonts w:ascii="Arial" w:hAnsi="Arial" w:cs="Arial"/>
          <w:b/>
          <w:sz w:val="22"/>
          <w:szCs w:val="22"/>
        </w:rPr>
        <w:t xml:space="preserve"> and the system has not been validated for this use</w:t>
      </w:r>
      <w:r>
        <w:rPr>
          <w:rFonts w:ascii="Arial" w:hAnsi="Arial" w:cs="Arial"/>
          <w:b/>
          <w:sz w:val="22"/>
          <w:szCs w:val="22"/>
        </w:rPr>
        <w:t>.</w:t>
      </w:r>
    </w:p>
    <w:p w:rsidR="005A2012" w:rsidRPr="00401DB2" w:rsidRDefault="005A2012" w:rsidP="00700360">
      <w:pPr>
        <w:pStyle w:val="PlainText"/>
        <w:numPr>
          <w:ilvl w:val="1"/>
          <w:numId w:val="32"/>
        </w:numPr>
        <w:spacing w:afterLines="60"/>
        <w:rPr>
          <w:rFonts w:ascii="Arial" w:hAnsi="Arial" w:cs="Arial"/>
          <w:sz w:val="22"/>
          <w:szCs w:val="22"/>
        </w:rPr>
      </w:pPr>
      <w:r w:rsidRPr="00401DB2">
        <w:rPr>
          <w:rFonts w:ascii="Arial" w:hAnsi="Arial" w:cs="Arial"/>
          <w:sz w:val="22"/>
          <w:szCs w:val="22"/>
        </w:rPr>
        <w:t>There were differences in mycotoxin levels in the control and GM corn which may account for some or all of the observed findings.  Further, the authors concede that there may be differences other than the presence of Cry1Ab which may account for these findings.</w:t>
      </w:r>
    </w:p>
    <w:p w:rsidR="00195902" w:rsidRPr="00401DB2" w:rsidRDefault="004E3DC1" w:rsidP="00700360">
      <w:pPr>
        <w:pStyle w:val="PlainText"/>
        <w:numPr>
          <w:ilvl w:val="1"/>
          <w:numId w:val="32"/>
        </w:numPr>
        <w:spacing w:afterLines="60"/>
        <w:rPr>
          <w:rFonts w:ascii="Arial" w:hAnsi="Arial" w:cs="Arial"/>
          <w:sz w:val="22"/>
          <w:szCs w:val="22"/>
        </w:rPr>
      </w:pPr>
      <w:r w:rsidRPr="00401DB2">
        <w:rPr>
          <w:rFonts w:ascii="Arial" w:hAnsi="Arial" w:cs="Arial"/>
          <w:sz w:val="22"/>
          <w:szCs w:val="22"/>
        </w:rPr>
        <w:t>T</w:t>
      </w:r>
      <w:r w:rsidR="00195902" w:rsidRPr="00401DB2">
        <w:rPr>
          <w:rFonts w:ascii="Arial" w:hAnsi="Arial" w:cs="Arial"/>
          <w:sz w:val="22"/>
          <w:szCs w:val="22"/>
        </w:rPr>
        <w:t>he normal ranges for the parameters measured</w:t>
      </w:r>
      <w:r w:rsidRPr="00401DB2">
        <w:rPr>
          <w:rFonts w:ascii="Arial" w:hAnsi="Arial" w:cs="Arial"/>
          <w:sz w:val="22"/>
          <w:szCs w:val="22"/>
        </w:rPr>
        <w:t xml:space="preserve"> are unknown;</w:t>
      </w:r>
      <w:r w:rsidR="00195902" w:rsidRPr="00401DB2">
        <w:rPr>
          <w:rFonts w:ascii="Arial" w:hAnsi="Arial" w:cs="Arial"/>
          <w:sz w:val="22"/>
          <w:szCs w:val="22"/>
        </w:rPr>
        <w:t xml:space="preserve"> </w:t>
      </w:r>
      <w:r w:rsidRPr="00401DB2">
        <w:rPr>
          <w:rFonts w:ascii="Arial" w:hAnsi="Arial" w:cs="Arial"/>
          <w:sz w:val="22"/>
          <w:szCs w:val="22"/>
        </w:rPr>
        <w:t xml:space="preserve">consequently it isn’t possible to assess </w:t>
      </w:r>
      <w:r w:rsidR="00195902" w:rsidRPr="00401DB2">
        <w:rPr>
          <w:rFonts w:ascii="Arial" w:hAnsi="Arial" w:cs="Arial"/>
          <w:sz w:val="22"/>
          <w:szCs w:val="22"/>
        </w:rPr>
        <w:t>whether</w:t>
      </w:r>
      <w:r w:rsidR="00A55FC1" w:rsidRPr="00401DB2">
        <w:rPr>
          <w:rFonts w:ascii="Arial" w:hAnsi="Arial" w:cs="Arial"/>
          <w:sz w:val="22"/>
          <w:szCs w:val="22"/>
        </w:rPr>
        <w:t xml:space="preserve"> </w:t>
      </w:r>
      <w:r w:rsidR="00195902" w:rsidRPr="00401DB2">
        <w:rPr>
          <w:rFonts w:ascii="Arial" w:hAnsi="Arial" w:cs="Arial"/>
          <w:sz w:val="22"/>
          <w:szCs w:val="22"/>
        </w:rPr>
        <w:t xml:space="preserve">the results observed with the </w:t>
      </w:r>
      <w:r w:rsidR="00A55FC1" w:rsidRPr="00401DB2">
        <w:rPr>
          <w:rFonts w:ascii="Arial" w:hAnsi="Arial" w:cs="Arial"/>
          <w:sz w:val="22"/>
          <w:szCs w:val="22"/>
        </w:rPr>
        <w:t>traditional laboratory</w:t>
      </w:r>
      <w:r w:rsidR="00195902" w:rsidRPr="00401DB2">
        <w:rPr>
          <w:rFonts w:ascii="Arial" w:hAnsi="Arial" w:cs="Arial"/>
          <w:sz w:val="22"/>
          <w:szCs w:val="22"/>
        </w:rPr>
        <w:t xml:space="preserve"> mouse diet (which is an artificial diet mix) </w:t>
      </w:r>
      <w:r w:rsidR="00A55FC1" w:rsidRPr="00401DB2">
        <w:rPr>
          <w:rFonts w:ascii="Arial" w:hAnsi="Arial" w:cs="Arial"/>
          <w:sz w:val="22"/>
          <w:szCs w:val="22"/>
        </w:rPr>
        <w:t xml:space="preserve">represent </w:t>
      </w:r>
      <w:r w:rsidRPr="00401DB2">
        <w:rPr>
          <w:rFonts w:ascii="Arial" w:hAnsi="Arial" w:cs="Arial"/>
          <w:sz w:val="22"/>
          <w:szCs w:val="22"/>
        </w:rPr>
        <w:t>typical or expected</w:t>
      </w:r>
      <w:r w:rsidR="00A55FC1" w:rsidRPr="00401DB2">
        <w:rPr>
          <w:rFonts w:ascii="Arial" w:hAnsi="Arial" w:cs="Arial"/>
          <w:sz w:val="22"/>
          <w:szCs w:val="22"/>
        </w:rPr>
        <w:t xml:space="preserve"> values for mice.</w:t>
      </w:r>
    </w:p>
    <w:p w:rsidR="00346A71" w:rsidRPr="00401DB2" w:rsidRDefault="004E3DC1" w:rsidP="00700360">
      <w:pPr>
        <w:pStyle w:val="PlainText"/>
        <w:numPr>
          <w:ilvl w:val="1"/>
          <w:numId w:val="32"/>
        </w:numPr>
        <w:spacing w:afterLines="60"/>
        <w:rPr>
          <w:rFonts w:ascii="Arial" w:hAnsi="Arial" w:cs="Arial"/>
          <w:sz w:val="22"/>
          <w:szCs w:val="22"/>
        </w:rPr>
      </w:pPr>
      <w:r w:rsidRPr="00401DB2">
        <w:rPr>
          <w:rFonts w:ascii="Arial" w:hAnsi="Arial" w:cs="Arial"/>
          <w:sz w:val="22"/>
          <w:szCs w:val="22"/>
        </w:rPr>
        <w:lastRenderedPageBreak/>
        <w:t xml:space="preserve">There </w:t>
      </w:r>
      <w:r w:rsidR="00150DB5" w:rsidRPr="00401DB2">
        <w:rPr>
          <w:rFonts w:ascii="Arial" w:hAnsi="Arial" w:cs="Arial"/>
          <w:sz w:val="22"/>
          <w:szCs w:val="22"/>
        </w:rPr>
        <w:t>were</w:t>
      </w:r>
      <w:r w:rsidRPr="00401DB2">
        <w:rPr>
          <w:rFonts w:ascii="Arial" w:hAnsi="Arial" w:cs="Arial"/>
          <w:sz w:val="22"/>
          <w:szCs w:val="22"/>
        </w:rPr>
        <w:t xml:space="preserve"> no reference diets </w:t>
      </w:r>
      <w:r w:rsidR="00150DB5" w:rsidRPr="00401DB2">
        <w:rPr>
          <w:rFonts w:ascii="Arial" w:hAnsi="Arial" w:cs="Arial"/>
          <w:sz w:val="22"/>
          <w:szCs w:val="22"/>
        </w:rPr>
        <w:t xml:space="preserve">to enable a comparison </w:t>
      </w:r>
      <w:r w:rsidRPr="00401DB2">
        <w:rPr>
          <w:rFonts w:ascii="Arial" w:hAnsi="Arial" w:cs="Arial"/>
          <w:sz w:val="22"/>
          <w:szCs w:val="22"/>
        </w:rPr>
        <w:t xml:space="preserve">to changes </w:t>
      </w:r>
      <w:r w:rsidR="00150DB5" w:rsidRPr="00401DB2">
        <w:rPr>
          <w:rFonts w:ascii="Arial" w:hAnsi="Arial" w:cs="Arial"/>
          <w:sz w:val="22"/>
          <w:szCs w:val="22"/>
        </w:rPr>
        <w:t xml:space="preserve">that </w:t>
      </w:r>
      <w:r w:rsidR="00A55FC1" w:rsidRPr="00401DB2">
        <w:rPr>
          <w:rFonts w:ascii="Arial" w:hAnsi="Arial" w:cs="Arial"/>
          <w:sz w:val="22"/>
          <w:szCs w:val="22"/>
        </w:rPr>
        <w:t xml:space="preserve">would vary in response to other dietary changes, </w:t>
      </w:r>
      <w:r w:rsidR="00150DB5" w:rsidRPr="00401DB2">
        <w:rPr>
          <w:rFonts w:ascii="Arial" w:hAnsi="Arial" w:cs="Arial"/>
          <w:sz w:val="22"/>
          <w:szCs w:val="22"/>
        </w:rPr>
        <w:t>including</w:t>
      </w:r>
      <w:r w:rsidR="00A55FC1" w:rsidRPr="00401DB2">
        <w:rPr>
          <w:rFonts w:ascii="Arial" w:hAnsi="Arial" w:cs="Arial"/>
          <w:sz w:val="22"/>
          <w:szCs w:val="22"/>
        </w:rPr>
        <w:t xml:space="preserve"> other materials </w:t>
      </w:r>
      <w:r w:rsidR="00150DB5" w:rsidRPr="00401DB2">
        <w:rPr>
          <w:rFonts w:ascii="Arial" w:hAnsi="Arial" w:cs="Arial"/>
          <w:sz w:val="22"/>
          <w:szCs w:val="22"/>
        </w:rPr>
        <w:t xml:space="preserve">that </w:t>
      </w:r>
      <w:r w:rsidR="00A55FC1" w:rsidRPr="00401DB2">
        <w:rPr>
          <w:rFonts w:ascii="Arial" w:hAnsi="Arial" w:cs="Arial"/>
          <w:sz w:val="22"/>
          <w:szCs w:val="22"/>
        </w:rPr>
        <w:t>are widely regarded as safe for consumption.  For example- how do the results with MON 810 compare to mushr</w:t>
      </w:r>
      <w:r w:rsidR="00BF48A5" w:rsidRPr="00401DB2">
        <w:rPr>
          <w:rFonts w:ascii="Arial" w:hAnsi="Arial" w:cs="Arial"/>
          <w:sz w:val="22"/>
          <w:szCs w:val="22"/>
        </w:rPr>
        <w:t>ooms, beef, chili peppers, etc.</w:t>
      </w:r>
    </w:p>
    <w:p w:rsidR="00346A71" w:rsidRDefault="009E0CB0" w:rsidP="00700360">
      <w:pPr>
        <w:pStyle w:val="ListParagraph"/>
        <w:numPr>
          <w:ilvl w:val="0"/>
          <w:numId w:val="32"/>
        </w:numPr>
        <w:spacing w:afterLines="60" w:line="240" w:lineRule="auto"/>
        <w:contextualSpacing w:val="0"/>
        <w:rPr>
          <w:rFonts w:ascii="Arial" w:hAnsi="Arial" w:cs="Arial"/>
        </w:rPr>
      </w:pPr>
      <w:r w:rsidRPr="00A55FC1">
        <w:rPr>
          <w:rFonts w:ascii="Arial" w:hAnsi="Arial" w:cs="Arial"/>
          <w:b/>
        </w:rPr>
        <w:t xml:space="preserve">There are a large number of studies available that validate the safety of </w:t>
      </w:r>
      <w:r w:rsidR="00AC2419" w:rsidRPr="00A55FC1">
        <w:rPr>
          <w:rFonts w:ascii="Arial" w:hAnsi="Arial" w:cs="Arial"/>
          <w:b/>
        </w:rPr>
        <w:t xml:space="preserve">GM </w:t>
      </w:r>
      <w:r w:rsidRPr="00A55FC1">
        <w:rPr>
          <w:rFonts w:ascii="Arial" w:hAnsi="Arial" w:cs="Arial"/>
          <w:b/>
        </w:rPr>
        <w:t xml:space="preserve">products.  Numerous studies from different </w:t>
      </w:r>
      <w:r w:rsidR="00093919" w:rsidRPr="00A55FC1">
        <w:rPr>
          <w:rFonts w:ascii="Arial" w:hAnsi="Arial" w:cs="Arial"/>
          <w:b/>
        </w:rPr>
        <w:t>laboratories</w:t>
      </w:r>
      <w:r w:rsidRPr="00A55FC1">
        <w:rPr>
          <w:rFonts w:ascii="Arial" w:hAnsi="Arial" w:cs="Arial"/>
          <w:b/>
        </w:rPr>
        <w:t xml:space="preserve"> have been conducted on biotech crops that show no adverse affect on animal health.</w:t>
      </w:r>
    </w:p>
    <w:p w:rsidR="00346A71" w:rsidRDefault="009E0CB0" w:rsidP="00700360">
      <w:pPr>
        <w:pStyle w:val="ListParagraph"/>
        <w:numPr>
          <w:ilvl w:val="0"/>
          <w:numId w:val="32"/>
        </w:numPr>
        <w:spacing w:afterLines="60" w:line="240" w:lineRule="auto"/>
        <w:contextualSpacing w:val="0"/>
        <w:rPr>
          <w:rFonts w:ascii="Arial" w:hAnsi="Arial" w:cs="Arial"/>
        </w:rPr>
      </w:pPr>
      <w:r w:rsidRPr="00523793">
        <w:rPr>
          <w:rFonts w:ascii="Arial" w:hAnsi="Arial" w:cs="Arial"/>
          <w:b/>
          <w:bCs/>
        </w:rPr>
        <w:t xml:space="preserve">MON 810 has a history of safe use since its introduction in 1996.  This product has been thoroughly tested and </w:t>
      </w:r>
      <w:r w:rsidR="00A55FC1">
        <w:rPr>
          <w:rFonts w:ascii="Arial" w:hAnsi="Arial" w:cs="Arial"/>
          <w:b/>
          <w:bCs/>
        </w:rPr>
        <w:t xml:space="preserve">has been </w:t>
      </w:r>
      <w:r w:rsidRPr="00523793">
        <w:rPr>
          <w:rFonts w:ascii="Arial" w:hAnsi="Arial" w:cs="Arial"/>
          <w:b/>
          <w:bCs/>
        </w:rPr>
        <w:t xml:space="preserve">consumed </w:t>
      </w:r>
      <w:r w:rsidR="00AC2419">
        <w:rPr>
          <w:rFonts w:ascii="Arial" w:hAnsi="Arial" w:cs="Arial"/>
          <w:b/>
          <w:bCs/>
        </w:rPr>
        <w:t xml:space="preserve">by humans and animals </w:t>
      </w:r>
      <w:r w:rsidRPr="00523793">
        <w:rPr>
          <w:rFonts w:ascii="Arial" w:hAnsi="Arial" w:cs="Arial"/>
          <w:b/>
          <w:bCs/>
        </w:rPr>
        <w:t xml:space="preserve">for over a decade. </w:t>
      </w:r>
      <w:r w:rsidR="0098345B">
        <w:rPr>
          <w:rFonts w:ascii="Arial" w:hAnsi="Arial" w:cs="Arial"/>
          <w:b/>
          <w:bCs/>
        </w:rPr>
        <w:t xml:space="preserve"> </w:t>
      </w:r>
      <w:r w:rsidR="00A55FC1" w:rsidRPr="00A55FC1">
        <w:rPr>
          <w:rFonts w:ascii="Arial" w:hAnsi="Arial" w:cs="Arial"/>
          <w:b/>
        </w:rPr>
        <w:t xml:space="preserve">MON 810 dossiers have been thoroughly reviewed by hundreds of independent scientists on behalf of regulatory authorities around the world and have been approved by a number of countries. </w:t>
      </w:r>
      <w:r w:rsidR="0098345B">
        <w:rPr>
          <w:rFonts w:ascii="Arial" w:hAnsi="Arial" w:cs="Arial"/>
          <w:b/>
        </w:rPr>
        <w:t xml:space="preserve"> </w:t>
      </w:r>
      <w:r w:rsidRPr="00523793">
        <w:rPr>
          <w:rFonts w:ascii="Arial" w:hAnsi="Arial" w:cs="Arial"/>
          <w:b/>
          <w:bCs/>
        </w:rPr>
        <w:t>Regulatory authorities in more than 20 countries have concluded that MON 810 is as safe as conventional corn.</w:t>
      </w:r>
    </w:p>
    <w:p w:rsidR="00346A71" w:rsidRDefault="00346A71" w:rsidP="00700360">
      <w:pPr>
        <w:pStyle w:val="ListParagraph"/>
        <w:spacing w:afterLines="60" w:line="240" w:lineRule="auto"/>
        <w:contextualSpacing w:val="0"/>
        <w:rPr>
          <w:rFonts w:ascii="Arial" w:hAnsi="Arial" w:cs="Arial"/>
        </w:rPr>
      </w:pPr>
    </w:p>
    <w:p w:rsidR="003C105D" w:rsidRDefault="00E71ABD" w:rsidP="003C105D">
      <w:pPr>
        <w:spacing w:after="0"/>
        <w:rPr>
          <w:rFonts w:ascii="Arial" w:hAnsi="Arial" w:cs="Arial"/>
          <w:b/>
          <w:bCs/>
          <w:color w:val="0000FF"/>
        </w:rPr>
      </w:pPr>
      <w:r>
        <w:rPr>
          <w:rFonts w:ascii="Arial" w:hAnsi="Arial" w:cs="Arial"/>
          <w:b/>
          <w:bCs/>
          <w:color w:val="0000FF"/>
        </w:rPr>
        <w:t>Looking Deeper</w:t>
      </w:r>
    </w:p>
    <w:p w:rsidR="00A55FC1" w:rsidRDefault="00A55FC1" w:rsidP="00700360">
      <w:pPr>
        <w:pStyle w:val="ListParagraph"/>
        <w:numPr>
          <w:ilvl w:val="0"/>
          <w:numId w:val="30"/>
        </w:numPr>
        <w:autoSpaceDE w:val="0"/>
        <w:autoSpaceDN w:val="0"/>
        <w:adjustRightInd w:val="0"/>
        <w:spacing w:afterLines="60" w:line="240" w:lineRule="auto"/>
        <w:contextualSpacing w:val="0"/>
        <w:rPr>
          <w:rFonts w:ascii="Arial" w:hAnsi="Arial" w:cs="Arial"/>
          <w:b/>
          <w:bCs/>
        </w:rPr>
      </w:pPr>
      <w:r>
        <w:rPr>
          <w:rFonts w:ascii="Arial" w:hAnsi="Arial" w:cs="Arial"/>
          <w:b/>
          <w:bCs/>
        </w:rPr>
        <w:t xml:space="preserve">The authors looked at a variety of parameters in young and old mice fed a </w:t>
      </w:r>
      <w:r w:rsidR="00C56654">
        <w:rPr>
          <w:rFonts w:ascii="Arial" w:hAnsi="Arial" w:cs="Arial"/>
          <w:b/>
          <w:bCs/>
        </w:rPr>
        <w:t>1) </w:t>
      </w:r>
      <w:r>
        <w:rPr>
          <w:rFonts w:ascii="Arial" w:hAnsi="Arial" w:cs="Arial"/>
          <w:b/>
          <w:bCs/>
        </w:rPr>
        <w:t xml:space="preserve">standard </w:t>
      </w:r>
      <w:r w:rsidR="00C56654">
        <w:rPr>
          <w:rFonts w:ascii="Arial" w:hAnsi="Arial" w:cs="Arial"/>
          <w:b/>
          <w:bCs/>
        </w:rPr>
        <w:t xml:space="preserve">mouse </w:t>
      </w:r>
      <w:r>
        <w:rPr>
          <w:rFonts w:ascii="Arial" w:hAnsi="Arial" w:cs="Arial"/>
          <w:b/>
          <w:bCs/>
        </w:rPr>
        <w:t xml:space="preserve">diet </w:t>
      </w:r>
      <w:r w:rsidR="00C56654">
        <w:rPr>
          <w:rFonts w:ascii="Arial" w:hAnsi="Arial" w:cs="Arial"/>
          <w:b/>
          <w:bCs/>
        </w:rPr>
        <w:t>with conventional corn, 2)</w:t>
      </w:r>
      <w:r>
        <w:rPr>
          <w:rFonts w:ascii="Arial" w:hAnsi="Arial" w:cs="Arial"/>
          <w:b/>
          <w:bCs/>
        </w:rPr>
        <w:t xml:space="preserve"> a </w:t>
      </w:r>
      <w:r w:rsidR="00C56654">
        <w:rPr>
          <w:rFonts w:ascii="Arial" w:hAnsi="Arial" w:cs="Arial"/>
          <w:b/>
          <w:bCs/>
        </w:rPr>
        <w:t>MON 810 “parental control”</w:t>
      </w:r>
      <w:r>
        <w:rPr>
          <w:rFonts w:ascii="Arial" w:hAnsi="Arial" w:cs="Arial"/>
          <w:b/>
          <w:bCs/>
        </w:rPr>
        <w:t xml:space="preserve"> diet with conventional corn or </w:t>
      </w:r>
      <w:r w:rsidR="00C56654">
        <w:rPr>
          <w:rFonts w:ascii="Arial" w:hAnsi="Arial" w:cs="Arial"/>
          <w:b/>
          <w:bCs/>
        </w:rPr>
        <w:t>3)</w:t>
      </w:r>
      <w:r>
        <w:rPr>
          <w:rFonts w:ascii="Arial" w:hAnsi="Arial" w:cs="Arial"/>
          <w:b/>
          <w:bCs/>
        </w:rPr>
        <w:t xml:space="preserve"> GM corn (MON 810)</w:t>
      </w:r>
      <w:r w:rsidR="00EE64CA">
        <w:rPr>
          <w:rFonts w:ascii="Arial" w:hAnsi="Arial" w:cs="Arial"/>
          <w:b/>
          <w:bCs/>
        </w:rPr>
        <w:t>.</w:t>
      </w:r>
    </w:p>
    <w:p w:rsidR="00A55FC1" w:rsidRDefault="00A55FC1" w:rsidP="00700360">
      <w:pPr>
        <w:pStyle w:val="ListParagraph"/>
        <w:numPr>
          <w:ilvl w:val="1"/>
          <w:numId w:val="30"/>
        </w:numPr>
        <w:autoSpaceDE w:val="0"/>
        <w:autoSpaceDN w:val="0"/>
        <w:adjustRightInd w:val="0"/>
        <w:spacing w:afterLines="60" w:line="240" w:lineRule="auto"/>
        <w:contextualSpacing w:val="0"/>
        <w:rPr>
          <w:rFonts w:ascii="Arial" w:hAnsi="Arial" w:cs="Arial"/>
          <w:bCs/>
        </w:rPr>
      </w:pPr>
      <w:r w:rsidRPr="00A55FC1">
        <w:rPr>
          <w:rFonts w:ascii="Arial" w:hAnsi="Arial" w:cs="Arial"/>
          <w:bCs/>
        </w:rPr>
        <w:t xml:space="preserve">Many </w:t>
      </w:r>
      <w:r w:rsidR="002E6650">
        <w:rPr>
          <w:rFonts w:ascii="Arial" w:hAnsi="Arial" w:cs="Arial"/>
          <w:bCs/>
        </w:rPr>
        <w:t>of the cellular response</w:t>
      </w:r>
      <w:r w:rsidRPr="00A55FC1">
        <w:rPr>
          <w:rFonts w:ascii="Arial" w:hAnsi="Arial" w:cs="Arial"/>
          <w:bCs/>
        </w:rPr>
        <w:t xml:space="preserve"> parameters were unchanged</w:t>
      </w:r>
      <w:r>
        <w:rPr>
          <w:rFonts w:ascii="Arial" w:hAnsi="Arial" w:cs="Arial"/>
          <w:bCs/>
        </w:rPr>
        <w:t>.</w:t>
      </w:r>
    </w:p>
    <w:p w:rsidR="00A55FC1" w:rsidRDefault="00A55FC1" w:rsidP="00700360">
      <w:pPr>
        <w:pStyle w:val="ListParagraph"/>
        <w:numPr>
          <w:ilvl w:val="1"/>
          <w:numId w:val="30"/>
        </w:numPr>
        <w:autoSpaceDE w:val="0"/>
        <w:autoSpaceDN w:val="0"/>
        <w:adjustRightInd w:val="0"/>
        <w:spacing w:afterLines="60" w:line="240" w:lineRule="auto"/>
        <w:contextualSpacing w:val="0"/>
        <w:rPr>
          <w:rFonts w:ascii="Arial" w:hAnsi="Arial" w:cs="Arial"/>
          <w:bCs/>
        </w:rPr>
      </w:pPr>
      <w:r>
        <w:rPr>
          <w:rFonts w:ascii="Arial" w:hAnsi="Arial" w:cs="Arial"/>
          <w:bCs/>
        </w:rPr>
        <w:t xml:space="preserve">Among parameters which did change, the direction and magnitude of the change was </w:t>
      </w:r>
      <w:r w:rsidR="00CC0A27">
        <w:rPr>
          <w:rFonts w:ascii="Arial" w:hAnsi="Arial" w:cs="Arial"/>
          <w:bCs/>
        </w:rPr>
        <w:t xml:space="preserve">often </w:t>
      </w:r>
      <w:r>
        <w:rPr>
          <w:rFonts w:ascii="Arial" w:hAnsi="Arial" w:cs="Arial"/>
          <w:bCs/>
        </w:rPr>
        <w:t xml:space="preserve">variable in the </w:t>
      </w:r>
      <w:r w:rsidR="00CC0A27">
        <w:rPr>
          <w:rFonts w:ascii="Arial" w:hAnsi="Arial" w:cs="Arial"/>
          <w:bCs/>
        </w:rPr>
        <w:t>different age groups.</w:t>
      </w:r>
    </w:p>
    <w:p w:rsidR="00346A71" w:rsidRDefault="006619E1" w:rsidP="00700360">
      <w:pPr>
        <w:pStyle w:val="ListParagraph"/>
        <w:numPr>
          <w:ilvl w:val="0"/>
          <w:numId w:val="30"/>
        </w:numPr>
        <w:autoSpaceDE w:val="0"/>
        <w:autoSpaceDN w:val="0"/>
        <w:adjustRightInd w:val="0"/>
        <w:spacing w:afterLines="60" w:line="240" w:lineRule="auto"/>
        <w:contextualSpacing w:val="0"/>
        <w:rPr>
          <w:rFonts w:ascii="Arial" w:hAnsi="Arial" w:cs="Arial"/>
          <w:b/>
          <w:bCs/>
        </w:rPr>
      </w:pPr>
      <w:r w:rsidRPr="00AC2419">
        <w:rPr>
          <w:rFonts w:ascii="Arial" w:hAnsi="Arial" w:cs="Arial"/>
          <w:b/>
          <w:bCs/>
        </w:rPr>
        <w:t xml:space="preserve">The effects presented in this report </w:t>
      </w:r>
      <w:r w:rsidR="00AC2419">
        <w:rPr>
          <w:rFonts w:ascii="Arial" w:hAnsi="Arial" w:cs="Arial"/>
          <w:b/>
          <w:bCs/>
          <w:u w:val="single"/>
        </w:rPr>
        <w:t>a</w:t>
      </w:r>
      <w:r w:rsidR="00AC2419" w:rsidRPr="00AC2419">
        <w:rPr>
          <w:rFonts w:ascii="Arial" w:hAnsi="Arial" w:cs="Arial"/>
          <w:b/>
          <w:bCs/>
          <w:u w:val="single"/>
        </w:rPr>
        <w:t>re not</w:t>
      </w:r>
      <w:r w:rsidRPr="00AC2419">
        <w:rPr>
          <w:rFonts w:ascii="Arial" w:hAnsi="Arial" w:cs="Arial"/>
          <w:b/>
          <w:bCs/>
          <w:u w:val="single"/>
        </w:rPr>
        <w:t xml:space="preserve"> biological</w:t>
      </w:r>
      <w:r w:rsidR="00AC2419" w:rsidRPr="00AC2419">
        <w:rPr>
          <w:rFonts w:ascii="Arial" w:hAnsi="Arial" w:cs="Arial"/>
          <w:b/>
          <w:bCs/>
          <w:u w:val="single"/>
        </w:rPr>
        <w:t>ly</w:t>
      </w:r>
      <w:r w:rsidRPr="00AC2419">
        <w:rPr>
          <w:rFonts w:ascii="Arial" w:hAnsi="Arial" w:cs="Arial"/>
          <w:b/>
          <w:bCs/>
          <w:u w:val="single"/>
        </w:rPr>
        <w:t xml:space="preserve"> relevan</w:t>
      </w:r>
      <w:r w:rsidR="00AC2419" w:rsidRPr="00AC2419">
        <w:rPr>
          <w:rFonts w:ascii="Arial" w:hAnsi="Arial" w:cs="Arial"/>
          <w:b/>
          <w:bCs/>
          <w:u w:val="single"/>
        </w:rPr>
        <w:t>t.</w:t>
      </w:r>
    </w:p>
    <w:p w:rsidR="00346A71" w:rsidRDefault="00AC2419" w:rsidP="00700360">
      <w:pPr>
        <w:pStyle w:val="PlainText"/>
        <w:numPr>
          <w:ilvl w:val="1"/>
          <w:numId w:val="30"/>
        </w:numPr>
        <w:spacing w:afterLines="60"/>
        <w:rPr>
          <w:rFonts w:ascii="Arial" w:hAnsi="Arial" w:cs="Arial"/>
          <w:sz w:val="22"/>
          <w:szCs w:val="22"/>
        </w:rPr>
      </w:pPr>
      <w:r w:rsidRPr="00AC2419">
        <w:rPr>
          <w:rFonts w:ascii="Arial" w:hAnsi="Arial" w:cs="Arial"/>
          <w:sz w:val="22"/>
          <w:szCs w:val="22"/>
        </w:rPr>
        <w:t xml:space="preserve">The small changes in the number of </w:t>
      </w:r>
      <w:r w:rsidR="00552D68" w:rsidRPr="00AC2419">
        <w:rPr>
          <w:rFonts w:ascii="Arial" w:hAnsi="Arial" w:cs="Arial"/>
          <w:sz w:val="22"/>
          <w:szCs w:val="22"/>
        </w:rPr>
        <w:t xml:space="preserve">white blood cell </w:t>
      </w:r>
      <w:r w:rsidR="00552D68">
        <w:rPr>
          <w:rFonts w:ascii="Arial" w:hAnsi="Arial" w:cs="Arial"/>
          <w:sz w:val="22"/>
          <w:szCs w:val="22"/>
        </w:rPr>
        <w:t>(</w:t>
      </w:r>
      <w:r w:rsidRPr="00AC2419">
        <w:rPr>
          <w:rFonts w:ascii="Arial" w:hAnsi="Arial" w:cs="Arial"/>
          <w:sz w:val="22"/>
          <w:szCs w:val="22"/>
        </w:rPr>
        <w:t>lymphocyte</w:t>
      </w:r>
      <w:r w:rsidR="00552D68">
        <w:rPr>
          <w:rFonts w:ascii="Arial" w:hAnsi="Arial" w:cs="Arial"/>
          <w:sz w:val="22"/>
          <w:szCs w:val="22"/>
        </w:rPr>
        <w:t>)</w:t>
      </w:r>
      <w:r w:rsidRPr="00AC2419">
        <w:rPr>
          <w:rFonts w:ascii="Arial" w:hAnsi="Arial" w:cs="Arial"/>
          <w:sz w:val="22"/>
          <w:szCs w:val="22"/>
        </w:rPr>
        <w:t xml:space="preserve"> </w:t>
      </w:r>
      <w:r w:rsidR="00A55FC1">
        <w:rPr>
          <w:rFonts w:ascii="Arial" w:hAnsi="Arial" w:cs="Arial"/>
          <w:sz w:val="22"/>
          <w:szCs w:val="22"/>
        </w:rPr>
        <w:t>sub</w:t>
      </w:r>
      <w:r w:rsidRPr="00AC2419">
        <w:rPr>
          <w:rFonts w:ascii="Arial" w:hAnsi="Arial" w:cs="Arial"/>
          <w:sz w:val="22"/>
          <w:szCs w:val="22"/>
        </w:rPr>
        <w:t xml:space="preserve">types </w:t>
      </w:r>
      <w:r w:rsidR="00552D68">
        <w:rPr>
          <w:rFonts w:ascii="Arial" w:hAnsi="Arial" w:cs="Arial"/>
          <w:sz w:val="22"/>
          <w:szCs w:val="22"/>
        </w:rPr>
        <w:t>and</w:t>
      </w:r>
      <w:r w:rsidR="00552D68" w:rsidRPr="00AC2419">
        <w:rPr>
          <w:rFonts w:ascii="Arial" w:hAnsi="Arial" w:cs="Arial"/>
          <w:sz w:val="22"/>
          <w:szCs w:val="22"/>
        </w:rPr>
        <w:t xml:space="preserve"> </w:t>
      </w:r>
      <w:r w:rsidRPr="00AC2419">
        <w:rPr>
          <w:rFonts w:ascii="Arial" w:hAnsi="Arial" w:cs="Arial"/>
          <w:sz w:val="22"/>
          <w:szCs w:val="22"/>
        </w:rPr>
        <w:t xml:space="preserve">cytokine </w:t>
      </w:r>
      <w:r w:rsidR="00A55FC1">
        <w:rPr>
          <w:rFonts w:ascii="Arial" w:hAnsi="Arial" w:cs="Arial"/>
          <w:sz w:val="22"/>
          <w:szCs w:val="22"/>
        </w:rPr>
        <w:t>levels</w:t>
      </w:r>
      <w:r w:rsidRPr="00AC2419">
        <w:rPr>
          <w:rFonts w:ascii="Arial" w:hAnsi="Arial" w:cs="Arial"/>
          <w:sz w:val="22"/>
          <w:szCs w:val="22"/>
        </w:rPr>
        <w:t xml:space="preserve">(signaling molecules used in cell communication) are </w:t>
      </w:r>
      <w:r w:rsidR="00A55FC1">
        <w:rPr>
          <w:rFonts w:ascii="Arial" w:hAnsi="Arial" w:cs="Arial"/>
          <w:sz w:val="22"/>
          <w:szCs w:val="22"/>
        </w:rPr>
        <w:t>not unexpected.</w:t>
      </w:r>
    </w:p>
    <w:p w:rsidR="00346A71" w:rsidRDefault="00A55FC1" w:rsidP="00700360">
      <w:pPr>
        <w:pStyle w:val="PlainText"/>
        <w:numPr>
          <w:ilvl w:val="1"/>
          <w:numId w:val="30"/>
        </w:numPr>
        <w:spacing w:afterLines="60"/>
        <w:rPr>
          <w:rFonts w:ascii="Arial" w:hAnsi="Arial" w:cs="Arial"/>
          <w:sz w:val="22"/>
          <w:szCs w:val="22"/>
        </w:rPr>
      </w:pPr>
      <w:r>
        <w:rPr>
          <w:rFonts w:ascii="Arial" w:hAnsi="Arial" w:cs="Arial"/>
          <w:sz w:val="22"/>
          <w:szCs w:val="22"/>
        </w:rPr>
        <w:t xml:space="preserve">The observed changes </w:t>
      </w:r>
      <w:r w:rsidR="00552D68">
        <w:rPr>
          <w:rFonts w:ascii="Arial" w:hAnsi="Arial" w:cs="Arial"/>
          <w:sz w:val="22"/>
          <w:szCs w:val="22"/>
        </w:rPr>
        <w:t xml:space="preserve">are </w:t>
      </w:r>
      <w:r w:rsidR="00552D68" w:rsidRPr="00AC2419">
        <w:rPr>
          <w:rFonts w:ascii="Arial" w:hAnsi="Arial" w:cs="Arial"/>
          <w:sz w:val="22"/>
          <w:szCs w:val="22"/>
        </w:rPr>
        <w:t xml:space="preserve">not </w:t>
      </w:r>
      <w:r w:rsidR="00017E28" w:rsidRPr="00AC2419">
        <w:rPr>
          <w:rFonts w:ascii="Arial" w:hAnsi="Arial" w:cs="Arial"/>
          <w:sz w:val="22"/>
          <w:szCs w:val="22"/>
        </w:rPr>
        <w:t xml:space="preserve">associated with </w:t>
      </w:r>
      <w:r w:rsidR="00552D68">
        <w:rPr>
          <w:rFonts w:ascii="Arial" w:hAnsi="Arial" w:cs="Arial"/>
          <w:sz w:val="22"/>
          <w:szCs w:val="22"/>
        </w:rPr>
        <w:t xml:space="preserve">any known </w:t>
      </w:r>
      <w:r w:rsidR="00017E28" w:rsidRPr="00AC2419">
        <w:rPr>
          <w:rFonts w:ascii="Arial" w:hAnsi="Arial" w:cs="Arial"/>
          <w:sz w:val="22"/>
          <w:szCs w:val="22"/>
        </w:rPr>
        <w:t>health effects.</w:t>
      </w:r>
      <w:r w:rsidR="00E335D2">
        <w:rPr>
          <w:rFonts w:ascii="Arial" w:hAnsi="Arial" w:cs="Arial"/>
          <w:sz w:val="22"/>
          <w:szCs w:val="22"/>
        </w:rPr>
        <w:t xml:space="preserve">  The</w:t>
      </w:r>
      <w:r w:rsidR="002E6650">
        <w:rPr>
          <w:rFonts w:ascii="Arial" w:hAnsi="Arial" w:cs="Arial"/>
          <w:sz w:val="22"/>
          <w:szCs w:val="22"/>
        </w:rPr>
        <w:t xml:space="preserve"> authors did not measure any high level physiological responses</w:t>
      </w:r>
      <w:r w:rsidR="007D4111">
        <w:rPr>
          <w:rFonts w:ascii="Arial" w:hAnsi="Arial" w:cs="Arial"/>
          <w:sz w:val="22"/>
          <w:szCs w:val="22"/>
        </w:rPr>
        <w:t xml:space="preserve"> (other than body weight)</w:t>
      </w:r>
      <w:r w:rsidR="002E6650">
        <w:rPr>
          <w:rFonts w:ascii="Arial" w:hAnsi="Arial" w:cs="Arial"/>
          <w:sz w:val="22"/>
          <w:szCs w:val="22"/>
        </w:rPr>
        <w:t xml:space="preserve"> that would have linked </w:t>
      </w:r>
      <w:r w:rsidR="00D1300A">
        <w:rPr>
          <w:rFonts w:ascii="Arial" w:hAnsi="Arial" w:cs="Arial"/>
          <w:sz w:val="22"/>
          <w:szCs w:val="22"/>
        </w:rPr>
        <w:t xml:space="preserve">the observed </w:t>
      </w:r>
      <w:r w:rsidR="002E6650">
        <w:rPr>
          <w:rFonts w:ascii="Arial" w:hAnsi="Arial" w:cs="Arial"/>
          <w:sz w:val="22"/>
          <w:szCs w:val="22"/>
        </w:rPr>
        <w:t>cellular changes to biologically relevant health effects.</w:t>
      </w:r>
    </w:p>
    <w:p w:rsidR="00CC0A27" w:rsidRDefault="00855448">
      <w:pPr>
        <w:pStyle w:val="ListParagraph"/>
        <w:numPr>
          <w:ilvl w:val="1"/>
          <w:numId w:val="30"/>
        </w:numPr>
        <w:autoSpaceDE w:val="0"/>
        <w:autoSpaceDN w:val="0"/>
        <w:adjustRightInd w:val="0"/>
        <w:spacing w:after="60" w:line="240" w:lineRule="auto"/>
        <w:contextualSpacing w:val="0"/>
        <w:rPr>
          <w:rFonts w:ascii="Arial" w:hAnsi="Arial" w:cs="Arial"/>
          <w:bCs/>
        </w:rPr>
      </w:pPr>
      <w:r w:rsidRPr="00855448">
        <w:rPr>
          <w:rFonts w:ascii="Arial" w:hAnsi="Arial" w:cs="Arial"/>
          <w:bCs/>
        </w:rPr>
        <w:t xml:space="preserve">There is no direct evidence that the </w:t>
      </w:r>
      <w:r w:rsidRPr="00A55FC1">
        <w:rPr>
          <w:rFonts w:ascii="Arial" w:hAnsi="Arial" w:cs="Arial"/>
          <w:bCs/>
        </w:rPr>
        <w:t>small</w:t>
      </w:r>
      <w:r w:rsidRPr="00855448">
        <w:rPr>
          <w:rFonts w:ascii="Arial" w:hAnsi="Arial" w:cs="Arial"/>
          <w:bCs/>
        </w:rPr>
        <w:t xml:space="preserve"> differences observed </w:t>
      </w:r>
      <w:r w:rsidR="00A55FC1">
        <w:rPr>
          <w:rFonts w:ascii="Arial" w:hAnsi="Arial" w:cs="Arial"/>
          <w:bCs/>
        </w:rPr>
        <w:t xml:space="preserve">indicate </w:t>
      </w:r>
      <w:r w:rsidR="00596D1A">
        <w:rPr>
          <w:rFonts w:ascii="Arial" w:hAnsi="Arial" w:cs="Arial"/>
          <w:bCs/>
        </w:rPr>
        <w:t>a</w:t>
      </w:r>
      <w:r w:rsidR="00A55FC1">
        <w:rPr>
          <w:rFonts w:ascii="Arial" w:hAnsi="Arial" w:cs="Arial"/>
          <w:bCs/>
        </w:rPr>
        <w:t>ny</w:t>
      </w:r>
      <w:r w:rsidR="00596D1A">
        <w:rPr>
          <w:rFonts w:ascii="Arial" w:hAnsi="Arial" w:cs="Arial"/>
          <w:bCs/>
        </w:rPr>
        <w:t xml:space="preserve"> </w:t>
      </w:r>
      <w:r w:rsidRPr="00855448">
        <w:rPr>
          <w:rFonts w:ascii="Arial" w:hAnsi="Arial" w:cs="Arial"/>
          <w:bCs/>
        </w:rPr>
        <w:t>potential to cause allergies</w:t>
      </w:r>
      <w:r w:rsidR="002E6650">
        <w:rPr>
          <w:rFonts w:ascii="Arial" w:hAnsi="Arial" w:cs="Arial"/>
          <w:bCs/>
        </w:rPr>
        <w:t xml:space="preserve"> or other immunotoxic effects</w:t>
      </w:r>
      <w:r w:rsidRPr="00855448">
        <w:rPr>
          <w:rFonts w:ascii="Arial" w:hAnsi="Arial" w:cs="Arial"/>
          <w:bCs/>
        </w:rPr>
        <w:t>, either in animals or humans.</w:t>
      </w:r>
      <w:r w:rsidR="00A55FC1">
        <w:rPr>
          <w:rFonts w:ascii="Arial" w:hAnsi="Arial" w:cs="Arial"/>
          <w:bCs/>
        </w:rPr>
        <w:t xml:space="preserve"> </w:t>
      </w:r>
      <w:r w:rsidR="0098345B">
        <w:rPr>
          <w:rFonts w:ascii="Arial" w:hAnsi="Arial" w:cs="Arial"/>
          <w:bCs/>
        </w:rPr>
        <w:t xml:space="preserve"> </w:t>
      </w:r>
      <w:r w:rsidR="00A55FC1">
        <w:rPr>
          <w:rFonts w:ascii="Arial" w:hAnsi="Arial" w:cs="Arial"/>
          <w:bCs/>
        </w:rPr>
        <w:t>In fact, the authors conclude, based on testing immune response to Cry1Ab, that it has “low immunogenicity”.</w:t>
      </w:r>
    </w:p>
    <w:p w:rsidR="00F960F3" w:rsidRDefault="00F960F3" w:rsidP="000A512D">
      <w:pPr>
        <w:pStyle w:val="ListParagraph"/>
        <w:autoSpaceDE w:val="0"/>
        <w:autoSpaceDN w:val="0"/>
        <w:adjustRightInd w:val="0"/>
        <w:spacing w:after="60" w:line="240" w:lineRule="auto"/>
        <w:contextualSpacing w:val="0"/>
        <w:rPr>
          <w:rFonts w:ascii="Arial" w:hAnsi="Arial" w:cs="Arial"/>
          <w:bCs/>
        </w:rPr>
      </w:pPr>
    </w:p>
    <w:p w:rsidR="00346A71" w:rsidRPr="00EE64CA" w:rsidRDefault="006619E1" w:rsidP="000A512D">
      <w:pPr>
        <w:pStyle w:val="ListParagraph"/>
        <w:numPr>
          <w:ilvl w:val="0"/>
          <w:numId w:val="30"/>
        </w:numPr>
        <w:autoSpaceDE w:val="0"/>
        <w:autoSpaceDN w:val="0"/>
        <w:adjustRightInd w:val="0"/>
        <w:spacing w:after="60" w:line="240" w:lineRule="auto"/>
        <w:contextualSpacing w:val="0"/>
        <w:rPr>
          <w:rFonts w:ascii="Arial" w:hAnsi="Arial" w:cs="Arial"/>
          <w:b/>
          <w:bCs/>
        </w:rPr>
      </w:pPr>
      <w:r w:rsidRPr="00EE64CA">
        <w:rPr>
          <w:rFonts w:ascii="Arial" w:hAnsi="Arial" w:cs="Arial"/>
          <w:b/>
          <w:bCs/>
        </w:rPr>
        <w:t xml:space="preserve">The authors’ claim that </w:t>
      </w:r>
      <w:r w:rsidR="00596D1A" w:rsidRPr="00EE64CA">
        <w:rPr>
          <w:rFonts w:ascii="Arial" w:hAnsi="Arial" w:cs="Arial"/>
          <w:b/>
          <w:bCs/>
        </w:rPr>
        <w:t>Cry1Ab caused the reported</w:t>
      </w:r>
      <w:r w:rsidRPr="00EE64CA">
        <w:rPr>
          <w:rFonts w:ascii="Arial" w:hAnsi="Arial" w:cs="Arial"/>
          <w:b/>
          <w:bCs/>
        </w:rPr>
        <w:t xml:space="preserve"> changes is unsupported.</w:t>
      </w:r>
    </w:p>
    <w:p w:rsidR="006619E1" w:rsidRDefault="00596D1A" w:rsidP="00293D06">
      <w:pPr>
        <w:pStyle w:val="ListParagraph"/>
        <w:numPr>
          <w:ilvl w:val="1"/>
          <w:numId w:val="30"/>
        </w:numPr>
        <w:autoSpaceDE w:val="0"/>
        <w:autoSpaceDN w:val="0"/>
        <w:adjustRightInd w:val="0"/>
        <w:spacing w:after="60" w:line="240" w:lineRule="auto"/>
        <w:contextualSpacing w:val="0"/>
        <w:rPr>
          <w:rFonts w:ascii="Arial" w:hAnsi="Arial" w:cs="Arial"/>
          <w:bCs/>
        </w:rPr>
      </w:pPr>
      <w:r>
        <w:rPr>
          <w:rFonts w:ascii="Arial" w:hAnsi="Arial" w:cs="Arial"/>
          <w:bCs/>
        </w:rPr>
        <w:t>T</w:t>
      </w:r>
      <w:r w:rsidR="006619E1" w:rsidRPr="00293D06">
        <w:rPr>
          <w:rFonts w:ascii="Arial" w:hAnsi="Arial" w:cs="Arial"/>
          <w:bCs/>
        </w:rPr>
        <w:t xml:space="preserve">he authors </w:t>
      </w:r>
      <w:r>
        <w:rPr>
          <w:rFonts w:ascii="Arial" w:hAnsi="Arial" w:cs="Arial"/>
          <w:bCs/>
        </w:rPr>
        <w:t>acknowledge that</w:t>
      </w:r>
      <w:r w:rsidR="006619E1" w:rsidRPr="00293D06">
        <w:rPr>
          <w:rFonts w:ascii="Arial" w:hAnsi="Arial" w:cs="Arial"/>
          <w:bCs/>
        </w:rPr>
        <w:t xml:space="preserve"> protein profiles</w:t>
      </w:r>
      <w:r>
        <w:rPr>
          <w:rFonts w:ascii="Arial" w:hAnsi="Arial" w:cs="Arial"/>
          <w:bCs/>
        </w:rPr>
        <w:t>, unrelated to the Cry1Ab protein expression,</w:t>
      </w:r>
      <w:r w:rsidR="006619E1" w:rsidRPr="00293D06">
        <w:rPr>
          <w:rFonts w:ascii="Arial" w:hAnsi="Arial" w:cs="Arial"/>
          <w:bCs/>
        </w:rPr>
        <w:t xml:space="preserve"> differ among corn varieties, </w:t>
      </w:r>
      <w:r>
        <w:rPr>
          <w:rFonts w:ascii="Arial" w:hAnsi="Arial" w:cs="Arial"/>
          <w:bCs/>
        </w:rPr>
        <w:t xml:space="preserve">and </w:t>
      </w:r>
      <w:r w:rsidR="00552D68">
        <w:rPr>
          <w:rFonts w:ascii="Arial" w:hAnsi="Arial" w:cs="Arial"/>
          <w:bCs/>
        </w:rPr>
        <w:t xml:space="preserve">are </w:t>
      </w:r>
      <w:r>
        <w:rPr>
          <w:rFonts w:ascii="Arial" w:hAnsi="Arial" w:cs="Arial"/>
          <w:bCs/>
        </w:rPr>
        <w:t>a potential source of the observed effects</w:t>
      </w:r>
      <w:r w:rsidR="006619E1" w:rsidRPr="00293D06">
        <w:rPr>
          <w:rFonts w:ascii="Arial" w:hAnsi="Arial" w:cs="Arial"/>
          <w:bCs/>
        </w:rPr>
        <w:t>.</w:t>
      </w:r>
    </w:p>
    <w:p w:rsidR="00326D91" w:rsidRPr="00293D06" w:rsidRDefault="00326D91" w:rsidP="00293D06">
      <w:pPr>
        <w:pStyle w:val="ListParagraph"/>
        <w:numPr>
          <w:ilvl w:val="1"/>
          <w:numId w:val="30"/>
        </w:numPr>
        <w:autoSpaceDE w:val="0"/>
        <w:autoSpaceDN w:val="0"/>
        <w:adjustRightInd w:val="0"/>
        <w:spacing w:after="60" w:line="240" w:lineRule="auto"/>
        <w:contextualSpacing w:val="0"/>
        <w:rPr>
          <w:rFonts w:ascii="Arial" w:hAnsi="Arial" w:cs="Arial"/>
          <w:bCs/>
        </w:rPr>
      </w:pPr>
      <w:r>
        <w:rPr>
          <w:rFonts w:ascii="Arial" w:hAnsi="Arial" w:cs="Arial"/>
          <w:bCs/>
        </w:rPr>
        <w:t>Differences in mycotoxin (fungal toxin) levels in the control and GM corn may also play a role in explaining the observed effects</w:t>
      </w:r>
      <w:r w:rsidR="00E335D2">
        <w:rPr>
          <w:rFonts w:ascii="Arial" w:hAnsi="Arial" w:cs="Arial"/>
          <w:bCs/>
        </w:rPr>
        <w:t>, as noted by the authors.</w:t>
      </w:r>
    </w:p>
    <w:p w:rsidR="006619E1" w:rsidRPr="00293D06" w:rsidRDefault="006619E1" w:rsidP="00293D06">
      <w:pPr>
        <w:pStyle w:val="ListParagraph"/>
        <w:spacing w:after="60"/>
        <w:contextualSpacing w:val="0"/>
        <w:rPr>
          <w:rFonts w:ascii="Arial" w:hAnsi="Arial" w:cs="Arial"/>
          <w:bCs/>
        </w:rPr>
      </w:pPr>
    </w:p>
    <w:p w:rsidR="006619E1" w:rsidRPr="00293D06" w:rsidRDefault="006619E1" w:rsidP="00293D06">
      <w:pPr>
        <w:pStyle w:val="ListParagraph"/>
        <w:numPr>
          <w:ilvl w:val="0"/>
          <w:numId w:val="31"/>
        </w:numPr>
        <w:autoSpaceDE w:val="0"/>
        <w:autoSpaceDN w:val="0"/>
        <w:adjustRightInd w:val="0"/>
        <w:spacing w:after="60" w:line="240" w:lineRule="auto"/>
        <w:contextualSpacing w:val="0"/>
        <w:rPr>
          <w:rFonts w:ascii="Arial" w:hAnsi="Arial" w:cs="Arial"/>
          <w:b/>
          <w:bCs/>
        </w:rPr>
      </w:pPr>
      <w:r w:rsidRPr="00293D06">
        <w:rPr>
          <w:rFonts w:ascii="Arial" w:hAnsi="Arial" w:cs="Arial"/>
          <w:b/>
          <w:bCs/>
        </w:rPr>
        <w:lastRenderedPageBreak/>
        <w:t xml:space="preserve">The authors’ conclusions regarding the effect of animal age </w:t>
      </w:r>
      <w:r w:rsidR="00CC0A27">
        <w:rPr>
          <w:rFonts w:ascii="Arial" w:hAnsi="Arial" w:cs="Arial"/>
          <w:b/>
          <w:bCs/>
        </w:rPr>
        <w:t>on</w:t>
      </w:r>
      <w:r w:rsidRPr="00293D06">
        <w:rPr>
          <w:rFonts w:ascii="Arial" w:hAnsi="Arial" w:cs="Arial"/>
          <w:b/>
          <w:bCs/>
        </w:rPr>
        <w:t xml:space="preserve"> the lymphocyte and cytokine profile</w:t>
      </w:r>
      <w:r w:rsidR="00552D68">
        <w:rPr>
          <w:rFonts w:ascii="Arial" w:hAnsi="Arial" w:cs="Arial"/>
          <w:b/>
          <w:bCs/>
        </w:rPr>
        <w:t>s</w:t>
      </w:r>
      <w:r w:rsidRPr="00293D06">
        <w:rPr>
          <w:rFonts w:ascii="Arial" w:hAnsi="Arial" w:cs="Arial"/>
          <w:b/>
          <w:bCs/>
        </w:rPr>
        <w:t xml:space="preserve"> are not supported in their analysis.</w:t>
      </w:r>
    </w:p>
    <w:p w:rsidR="006619E1" w:rsidRPr="00293D06" w:rsidRDefault="006619E1" w:rsidP="00293D06">
      <w:pPr>
        <w:pStyle w:val="ListParagraph"/>
        <w:numPr>
          <w:ilvl w:val="1"/>
          <w:numId w:val="31"/>
        </w:numPr>
        <w:autoSpaceDE w:val="0"/>
        <w:autoSpaceDN w:val="0"/>
        <w:adjustRightInd w:val="0"/>
        <w:spacing w:after="60" w:line="240" w:lineRule="auto"/>
        <w:contextualSpacing w:val="0"/>
        <w:rPr>
          <w:rFonts w:ascii="Arial" w:hAnsi="Arial" w:cs="Arial"/>
          <w:bCs/>
        </w:rPr>
      </w:pPr>
      <w:r w:rsidRPr="00293D06">
        <w:rPr>
          <w:rFonts w:ascii="Arial" w:hAnsi="Arial" w:cs="Arial"/>
          <w:bCs/>
        </w:rPr>
        <w:t>There were no statistical comparisons made between animal age groups.</w:t>
      </w:r>
    </w:p>
    <w:p w:rsidR="006619E1" w:rsidRDefault="00326D91" w:rsidP="00293D06">
      <w:pPr>
        <w:pStyle w:val="ListParagraph"/>
        <w:numPr>
          <w:ilvl w:val="1"/>
          <w:numId w:val="31"/>
        </w:numPr>
        <w:autoSpaceDE w:val="0"/>
        <w:autoSpaceDN w:val="0"/>
        <w:adjustRightInd w:val="0"/>
        <w:spacing w:after="60" w:line="240" w:lineRule="auto"/>
        <w:contextualSpacing w:val="0"/>
        <w:rPr>
          <w:rFonts w:ascii="Arial" w:hAnsi="Arial" w:cs="Arial"/>
          <w:bCs/>
        </w:rPr>
      </w:pPr>
      <w:r>
        <w:rPr>
          <w:rFonts w:ascii="Arial" w:hAnsi="Arial" w:cs="Arial"/>
          <w:bCs/>
        </w:rPr>
        <w:t>Changes observed were inconsistent in direction and magnitude in mice of different ages and exposure durations, i.e.- no particular pattern was apparent in these findings.</w:t>
      </w:r>
    </w:p>
    <w:p w:rsidR="00326D91" w:rsidRPr="00293D06" w:rsidRDefault="00326D91" w:rsidP="00293D06">
      <w:pPr>
        <w:pStyle w:val="ListParagraph"/>
        <w:numPr>
          <w:ilvl w:val="1"/>
          <w:numId w:val="31"/>
        </w:numPr>
        <w:autoSpaceDE w:val="0"/>
        <w:autoSpaceDN w:val="0"/>
        <w:adjustRightInd w:val="0"/>
        <w:spacing w:after="60" w:line="240" w:lineRule="auto"/>
        <w:contextualSpacing w:val="0"/>
        <w:rPr>
          <w:rFonts w:ascii="Arial" w:hAnsi="Arial" w:cs="Arial"/>
          <w:bCs/>
        </w:rPr>
      </w:pPr>
      <w:r>
        <w:rPr>
          <w:rFonts w:ascii="Arial" w:hAnsi="Arial" w:cs="Arial"/>
          <w:bCs/>
        </w:rPr>
        <w:t>Given that the significance of the findings “remains to be clarified”</w:t>
      </w:r>
      <w:r w:rsidR="00E335D2">
        <w:rPr>
          <w:rFonts w:ascii="Arial" w:hAnsi="Arial" w:cs="Arial"/>
          <w:bCs/>
        </w:rPr>
        <w:t xml:space="preserve"> as noted by the authors</w:t>
      </w:r>
      <w:r>
        <w:rPr>
          <w:rFonts w:ascii="Arial" w:hAnsi="Arial" w:cs="Arial"/>
          <w:bCs/>
        </w:rPr>
        <w:t xml:space="preserve">, claims of an age effect are certainly premature. </w:t>
      </w:r>
      <w:r w:rsidR="00150DB5">
        <w:rPr>
          <w:rFonts w:ascii="Arial" w:hAnsi="Arial" w:cs="Arial"/>
          <w:bCs/>
        </w:rPr>
        <w:t>The information provided does not establish</w:t>
      </w:r>
      <w:r>
        <w:rPr>
          <w:rFonts w:ascii="Arial" w:hAnsi="Arial" w:cs="Arial"/>
          <w:bCs/>
        </w:rPr>
        <w:t xml:space="preserve"> </w:t>
      </w:r>
      <w:r w:rsidRPr="00326D91">
        <w:rPr>
          <w:rFonts w:ascii="Arial" w:hAnsi="Arial" w:cs="Arial"/>
          <w:bCs/>
          <w:u w:val="single"/>
        </w:rPr>
        <w:t>any</w:t>
      </w:r>
      <w:r>
        <w:rPr>
          <w:rFonts w:ascii="Arial" w:hAnsi="Arial" w:cs="Arial"/>
          <w:bCs/>
        </w:rPr>
        <w:t xml:space="preserve"> </w:t>
      </w:r>
      <w:r w:rsidR="00E335D2">
        <w:rPr>
          <w:rFonts w:ascii="Arial" w:hAnsi="Arial" w:cs="Arial"/>
          <w:bCs/>
        </w:rPr>
        <w:t xml:space="preserve">specific or </w:t>
      </w:r>
      <w:r>
        <w:rPr>
          <w:rFonts w:ascii="Arial" w:hAnsi="Arial" w:cs="Arial"/>
          <w:bCs/>
        </w:rPr>
        <w:t>meaningfu</w:t>
      </w:r>
      <w:r w:rsidR="00CC0A27">
        <w:rPr>
          <w:rFonts w:ascii="Arial" w:hAnsi="Arial" w:cs="Arial"/>
          <w:bCs/>
        </w:rPr>
        <w:t>l effect</w:t>
      </w:r>
      <w:r w:rsidR="00E335D2">
        <w:rPr>
          <w:rFonts w:ascii="Arial" w:hAnsi="Arial" w:cs="Arial"/>
          <w:bCs/>
        </w:rPr>
        <w:t xml:space="preserve"> of the MON 810 corn relative to controls</w:t>
      </w:r>
      <w:r w:rsidR="00CC0A27">
        <w:rPr>
          <w:rFonts w:ascii="Arial" w:hAnsi="Arial" w:cs="Arial"/>
          <w:bCs/>
        </w:rPr>
        <w:t xml:space="preserve">. </w:t>
      </w:r>
      <w:r w:rsidR="0098345B">
        <w:rPr>
          <w:rFonts w:ascii="Arial" w:hAnsi="Arial" w:cs="Arial"/>
          <w:bCs/>
        </w:rPr>
        <w:t xml:space="preserve"> </w:t>
      </w:r>
      <w:r w:rsidR="00CC0A27">
        <w:rPr>
          <w:rFonts w:ascii="Arial" w:hAnsi="Arial" w:cs="Arial"/>
          <w:bCs/>
        </w:rPr>
        <w:t xml:space="preserve">If any of the effects are meaningful, </w:t>
      </w:r>
      <w:r w:rsidR="00150DB5">
        <w:rPr>
          <w:rFonts w:ascii="Arial" w:hAnsi="Arial" w:cs="Arial"/>
          <w:bCs/>
        </w:rPr>
        <w:t xml:space="preserve">more information is needed to understand </w:t>
      </w:r>
      <w:r w:rsidR="00CC0A27">
        <w:rPr>
          <w:rFonts w:ascii="Arial" w:hAnsi="Arial" w:cs="Arial"/>
          <w:bCs/>
        </w:rPr>
        <w:t xml:space="preserve">what </w:t>
      </w:r>
      <w:r w:rsidR="00150DB5">
        <w:rPr>
          <w:rFonts w:ascii="Arial" w:hAnsi="Arial" w:cs="Arial"/>
          <w:bCs/>
        </w:rPr>
        <w:t xml:space="preserve">those effects </w:t>
      </w:r>
      <w:r w:rsidR="00CC0A27">
        <w:rPr>
          <w:rFonts w:ascii="Arial" w:hAnsi="Arial" w:cs="Arial"/>
          <w:bCs/>
        </w:rPr>
        <w:t>are</w:t>
      </w:r>
      <w:r>
        <w:rPr>
          <w:rFonts w:ascii="Arial" w:hAnsi="Arial" w:cs="Arial"/>
          <w:bCs/>
        </w:rPr>
        <w:t>,</w:t>
      </w:r>
      <w:r w:rsidR="00CC0A27">
        <w:rPr>
          <w:rFonts w:ascii="Arial" w:hAnsi="Arial" w:cs="Arial"/>
          <w:bCs/>
        </w:rPr>
        <w:t xml:space="preserve"> </w:t>
      </w:r>
      <w:r>
        <w:rPr>
          <w:rFonts w:ascii="Arial" w:hAnsi="Arial" w:cs="Arial"/>
          <w:bCs/>
        </w:rPr>
        <w:t xml:space="preserve">how </w:t>
      </w:r>
      <w:r w:rsidR="00CC0A27">
        <w:rPr>
          <w:rFonts w:ascii="Arial" w:hAnsi="Arial" w:cs="Arial"/>
          <w:bCs/>
        </w:rPr>
        <w:t>they may</w:t>
      </w:r>
      <w:r>
        <w:rPr>
          <w:rFonts w:ascii="Arial" w:hAnsi="Arial" w:cs="Arial"/>
          <w:bCs/>
        </w:rPr>
        <w:t xml:space="preserve"> change with age</w:t>
      </w:r>
      <w:r w:rsidR="00CC0A27">
        <w:rPr>
          <w:rFonts w:ascii="Arial" w:hAnsi="Arial" w:cs="Arial"/>
          <w:bCs/>
        </w:rPr>
        <w:t xml:space="preserve">, and whether the </w:t>
      </w:r>
      <w:r w:rsidR="00150DB5">
        <w:rPr>
          <w:rFonts w:ascii="Arial" w:hAnsi="Arial" w:cs="Arial"/>
          <w:bCs/>
        </w:rPr>
        <w:t>effects are typical and</w:t>
      </w:r>
      <w:r w:rsidR="00CC0A27">
        <w:rPr>
          <w:rFonts w:ascii="Arial" w:hAnsi="Arial" w:cs="Arial"/>
          <w:bCs/>
        </w:rPr>
        <w:t xml:space="preserve"> normal</w:t>
      </w:r>
      <w:r>
        <w:rPr>
          <w:rFonts w:ascii="Arial" w:hAnsi="Arial" w:cs="Arial"/>
          <w:bCs/>
        </w:rPr>
        <w:t>.</w:t>
      </w:r>
    </w:p>
    <w:p w:rsidR="007D4111" w:rsidRPr="00293D06" w:rsidRDefault="007D4111" w:rsidP="00293D06">
      <w:pPr>
        <w:pStyle w:val="ListParagraph"/>
        <w:numPr>
          <w:ilvl w:val="1"/>
          <w:numId w:val="31"/>
        </w:numPr>
        <w:autoSpaceDE w:val="0"/>
        <w:autoSpaceDN w:val="0"/>
        <w:adjustRightInd w:val="0"/>
        <w:spacing w:after="60" w:line="240" w:lineRule="auto"/>
        <w:contextualSpacing w:val="0"/>
        <w:rPr>
          <w:rFonts w:ascii="Arial" w:hAnsi="Arial" w:cs="Arial"/>
          <w:bCs/>
        </w:rPr>
      </w:pPr>
      <w:r>
        <w:rPr>
          <w:rFonts w:ascii="Arial" w:hAnsi="Arial" w:cs="Arial"/>
          <w:bCs/>
        </w:rPr>
        <w:t xml:space="preserve">Any inference with regard to age in mice and a correlation with age effects in humans or other animals based on the work in Finamore et al should be taken with caution because there is no established </w:t>
      </w:r>
      <w:r w:rsidR="00191016">
        <w:rPr>
          <w:rFonts w:ascii="Arial" w:hAnsi="Arial" w:cs="Arial"/>
          <w:bCs/>
        </w:rPr>
        <w:t>negative health effect</w:t>
      </w:r>
      <w:r>
        <w:rPr>
          <w:rFonts w:ascii="Arial" w:hAnsi="Arial" w:cs="Arial"/>
          <w:bCs/>
        </w:rPr>
        <w:t>.</w:t>
      </w:r>
    </w:p>
    <w:p w:rsidR="006619E1" w:rsidRPr="00293D06" w:rsidRDefault="006619E1" w:rsidP="00293D06">
      <w:pPr>
        <w:autoSpaceDE w:val="0"/>
        <w:autoSpaceDN w:val="0"/>
        <w:adjustRightInd w:val="0"/>
        <w:spacing w:after="60" w:line="240" w:lineRule="auto"/>
        <w:ind w:left="720"/>
        <w:rPr>
          <w:rFonts w:ascii="Arial" w:hAnsi="Arial" w:cs="Arial"/>
          <w:bCs/>
        </w:rPr>
      </w:pPr>
    </w:p>
    <w:p w:rsidR="006619E1" w:rsidRPr="00293D06" w:rsidRDefault="006619E1" w:rsidP="00293D06">
      <w:pPr>
        <w:pStyle w:val="ListParagraph"/>
        <w:numPr>
          <w:ilvl w:val="0"/>
          <w:numId w:val="30"/>
        </w:numPr>
        <w:autoSpaceDE w:val="0"/>
        <w:autoSpaceDN w:val="0"/>
        <w:adjustRightInd w:val="0"/>
        <w:spacing w:after="60" w:line="240" w:lineRule="auto"/>
        <w:contextualSpacing w:val="0"/>
        <w:rPr>
          <w:rFonts w:ascii="Arial" w:hAnsi="Arial" w:cs="Arial"/>
          <w:b/>
          <w:bCs/>
        </w:rPr>
      </w:pPr>
      <w:r w:rsidRPr="00293D06">
        <w:rPr>
          <w:rFonts w:ascii="Arial" w:hAnsi="Arial" w:cs="Arial"/>
          <w:b/>
          <w:bCs/>
        </w:rPr>
        <w:t>The authors’ suggestion that MON810 contains “antigens” or that Cry1Ab is antigenic is unfounded.</w:t>
      </w:r>
    </w:p>
    <w:p w:rsidR="006619E1" w:rsidRPr="00293D06" w:rsidRDefault="000A2F8F" w:rsidP="00293D06">
      <w:pPr>
        <w:pStyle w:val="ListParagraph"/>
        <w:numPr>
          <w:ilvl w:val="1"/>
          <w:numId w:val="30"/>
        </w:numPr>
        <w:autoSpaceDE w:val="0"/>
        <w:autoSpaceDN w:val="0"/>
        <w:adjustRightInd w:val="0"/>
        <w:spacing w:after="60" w:line="240" w:lineRule="auto"/>
        <w:contextualSpacing w:val="0"/>
        <w:rPr>
          <w:rFonts w:ascii="Arial" w:hAnsi="Arial" w:cs="Arial"/>
          <w:bCs/>
        </w:rPr>
      </w:pPr>
      <w:r>
        <w:rPr>
          <w:rFonts w:ascii="Arial" w:hAnsi="Arial" w:cs="Arial"/>
          <w:bCs/>
        </w:rPr>
        <w:t>There are</w:t>
      </w:r>
      <w:r w:rsidR="006619E1" w:rsidRPr="00293D06">
        <w:rPr>
          <w:rFonts w:ascii="Arial" w:hAnsi="Arial" w:cs="Arial"/>
          <w:bCs/>
        </w:rPr>
        <w:t xml:space="preserve"> no</w:t>
      </w:r>
      <w:r w:rsidR="00326D91">
        <w:rPr>
          <w:rFonts w:ascii="Arial" w:hAnsi="Arial" w:cs="Arial"/>
          <w:bCs/>
        </w:rPr>
        <w:t xml:space="preserve"> measurements of antibodies</w:t>
      </w:r>
      <w:r w:rsidR="006619E1" w:rsidRPr="00293D06">
        <w:rPr>
          <w:rFonts w:ascii="Arial" w:hAnsi="Arial" w:cs="Arial"/>
          <w:bCs/>
        </w:rPr>
        <w:t xml:space="preserve"> in this work</w:t>
      </w:r>
      <w:r w:rsidR="00552D68">
        <w:rPr>
          <w:rFonts w:ascii="Arial" w:hAnsi="Arial" w:cs="Arial"/>
          <w:bCs/>
        </w:rPr>
        <w:t xml:space="preserve">, and thus no test has been performed that could possibly </w:t>
      </w:r>
      <w:r w:rsidR="00326D91">
        <w:rPr>
          <w:rFonts w:ascii="Arial" w:hAnsi="Arial" w:cs="Arial"/>
          <w:bCs/>
        </w:rPr>
        <w:t>measure allergenicity</w:t>
      </w:r>
      <w:r w:rsidR="00C27DCB">
        <w:rPr>
          <w:rFonts w:ascii="Arial" w:hAnsi="Arial" w:cs="Arial"/>
          <w:bCs/>
        </w:rPr>
        <w:t>.</w:t>
      </w:r>
    </w:p>
    <w:p w:rsidR="00326D91" w:rsidRPr="00293D06" w:rsidRDefault="00326D91" w:rsidP="00326D91">
      <w:pPr>
        <w:pStyle w:val="ListParagraph"/>
        <w:numPr>
          <w:ilvl w:val="1"/>
          <w:numId w:val="30"/>
        </w:numPr>
        <w:autoSpaceDE w:val="0"/>
        <w:autoSpaceDN w:val="0"/>
        <w:adjustRightInd w:val="0"/>
        <w:spacing w:after="60" w:line="240" w:lineRule="auto"/>
        <w:contextualSpacing w:val="0"/>
        <w:rPr>
          <w:rFonts w:ascii="Arial" w:hAnsi="Arial" w:cs="Arial"/>
          <w:bCs/>
        </w:rPr>
      </w:pPr>
      <w:r>
        <w:rPr>
          <w:rFonts w:ascii="Arial" w:hAnsi="Arial" w:cs="Arial"/>
          <w:bCs/>
        </w:rPr>
        <w:t xml:space="preserve">The authors themselves indicate that their results </w:t>
      </w:r>
      <w:r w:rsidR="002E6650">
        <w:rPr>
          <w:rFonts w:ascii="Arial" w:hAnsi="Arial" w:cs="Arial"/>
          <w:bCs/>
        </w:rPr>
        <w:t xml:space="preserve">with pure Cry1Ab protein </w:t>
      </w:r>
      <w:r>
        <w:rPr>
          <w:rFonts w:ascii="Arial" w:hAnsi="Arial" w:cs="Arial"/>
          <w:bCs/>
        </w:rPr>
        <w:t>indicate “low immunogenicity”.</w:t>
      </w:r>
    </w:p>
    <w:p w:rsidR="006619E1" w:rsidRDefault="006619E1" w:rsidP="00293D06">
      <w:pPr>
        <w:pStyle w:val="ListParagraph"/>
        <w:numPr>
          <w:ilvl w:val="1"/>
          <w:numId w:val="30"/>
        </w:numPr>
        <w:autoSpaceDE w:val="0"/>
        <w:autoSpaceDN w:val="0"/>
        <w:adjustRightInd w:val="0"/>
        <w:spacing w:after="60" w:line="240" w:lineRule="auto"/>
        <w:contextualSpacing w:val="0"/>
        <w:rPr>
          <w:rFonts w:ascii="Arial" w:hAnsi="Arial" w:cs="Arial"/>
          <w:bCs/>
        </w:rPr>
      </w:pPr>
      <w:r w:rsidRPr="00293D06">
        <w:rPr>
          <w:rFonts w:ascii="Arial" w:hAnsi="Arial" w:cs="Arial"/>
          <w:bCs/>
        </w:rPr>
        <w:t>The stimulation index</w:t>
      </w:r>
      <w:r w:rsidR="00326D91">
        <w:rPr>
          <w:rFonts w:ascii="Arial" w:hAnsi="Arial" w:cs="Arial"/>
          <w:bCs/>
        </w:rPr>
        <w:t xml:space="preserve"> for white cells challenged with Cry1Ab</w:t>
      </w:r>
      <w:r w:rsidRPr="00293D06">
        <w:rPr>
          <w:rFonts w:ascii="Arial" w:hAnsi="Arial" w:cs="Arial"/>
          <w:bCs/>
        </w:rPr>
        <w:t xml:space="preserve"> was </w:t>
      </w:r>
      <w:r w:rsidRPr="00326D91">
        <w:rPr>
          <w:rFonts w:ascii="Arial" w:hAnsi="Arial" w:cs="Arial"/>
          <w:bCs/>
        </w:rPr>
        <w:t>actually</w:t>
      </w:r>
      <w:r w:rsidRPr="00293D06">
        <w:rPr>
          <w:rFonts w:ascii="Arial" w:hAnsi="Arial" w:cs="Arial"/>
          <w:bCs/>
          <w:i/>
        </w:rPr>
        <w:t xml:space="preserve"> lower</w:t>
      </w:r>
      <w:r w:rsidRPr="00293D06">
        <w:rPr>
          <w:rFonts w:ascii="Arial" w:hAnsi="Arial" w:cs="Arial"/>
          <w:bCs/>
        </w:rPr>
        <w:t xml:space="preserve"> in MON810 fed mice</w:t>
      </w:r>
      <w:r w:rsidR="002E6650">
        <w:rPr>
          <w:rFonts w:ascii="Arial" w:hAnsi="Arial" w:cs="Arial"/>
          <w:bCs/>
        </w:rPr>
        <w:t>, indicating a lower probability of an immunologically relevant response due specifically to the Cry1Ab protein in MON 810</w:t>
      </w:r>
      <w:r w:rsidRPr="00293D06">
        <w:rPr>
          <w:rFonts w:ascii="Arial" w:hAnsi="Arial" w:cs="Arial"/>
          <w:bCs/>
        </w:rPr>
        <w:t>.</w:t>
      </w:r>
    </w:p>
    <w:p w:rsidR="00326D91" w:rsidRDefault="00326D91" w:rsidP="00326D91">
      <w:pPr>
        <w:pStyle w:val="ListParagraph"/>
        <w:autoSpaceDE w:val="0"/>
        <w:autoSpaceDN w:val="0"/>
        <w:adjustRightInd w:val="0"/>
        <w:spacing w:after="60" w:line="240" w:lineRule="auto"/>
        <w:ind w:left="1440"/>
        <w:contextualSpacing w:val="0"/>
        <w:rPr>
          <w:rFonts w:ascii="Arial" w:hAnsi="Arial" w:cs="Arial"/>
          <w:bCs/>
        </w:rPr>
      </w:pPr>
    </w:p>
    <w:p w:rsidR="00326D91" w:rsidRDefault="00326D91" w:rsidP="00326D91">
      <w:pPr>
        <w:pStyle w:val="ListParagraph"/>
        <w:numPr>
          <w:ilvl w:val="0"/>
          <w:numId w:val="30"/>
        </w:numPr>
        <w:autoSpaceDE w:val="0"/>
        <w:autoSpaceDN w:val="0"/>
        <w:adjustRightInd w:val="0"/>
        <w:spacing w:after="60" w:line="240" w:lineRule="auto"/>
        <w:contextualSpacing w:val="0"/>
        <w:rPr>
          <w:rFonts w:ascii="Arial" w:hAnsi="Arial" w:cs="Arial"/>
          <w:b/>
          <w:bCs/>
        </w:rPr>
      </w:pPr>
      <w:r w:rsidRPr="00326D91">
        <w:rPr>
          <w:rFonts w:ascii="Arial" w:hAnsi="Arial" w:cs="Arial"/>
          <w:b/>
          <w:bCs/>
        </w:rPr>
        <w:t xml:space="preserve">Any </w:t>
      </w:r>
      <w:r>
        <w:rPr>
          <w:rFonts w:ascii="Arial" w:hAnsi="Arial" w:cs="Arial"/>
          <w:b/>
          <w:bCs/>
        </w:rPr>
        <w:t xml:space="preserve">suggestion that this </w:t>
      </w:r>
      <w:r w:rsidR="002E6650">
        <w:rPr>
          <w:rFonts w:ascii="Arial" w:hAnsi="Arial" w:cs="Arial"/>
          <w:b/>
          <w:bCs/>
        </w:rPr>
        <w:t>animal-based bio</w:t>
      </w:r>
      <w:r>
        <w:rPr>
          <w:rFonts w:ascii="Arial" w:hAnsi="Arial" w:cs="Arial"/>
          <w:b/>
          <w:bCs/>
        </w:rPr>
        <w:t>assay system should be used routinely for food safety assessment is very premature.</w:t>
      </w:r>
      <w:r w:rsidR="002C0510">
        <w:rPr>
          <w:rFonts w:ascii="Arial" w:hAnsi="Arial" w:cs="Arial"/>
          <w:b/>
          <w:bCs/>
        </w:rPr>
        <w:t xml:space="preserve"> </w:t>
      </w:r>
      <w:r>
        <w:rPr>
          <w:rFonts w:ascii="Arial" w:hAnsi="Arial" w:cs="Arial"/>
          <w:b/>
          <w:bCs/>
        </w:rPr>
        <w:t xml:space="preserve"> In order to use such a system:</w:t>
      </w:r>
    </w:p>
    <w:p w:rsidR="00326D91" w:rsidRPr="00401DB2" w:rsidRDefault="00326D91" w:rsidP="00326D91">
      <w:pPr>
        <w:pStyle w:val="ListParagraph"/>
        <w:numPr>
          <w:ilvl w:val="1"/>
          <w:numId w:val="30"/>
        </w:numPr>
        <w:autoSpaceDE w:val="0"/>
        <w:autoSpaceDN w:val="0"/>
        <w:adjustRightInd w:val="0"/>
        <w:spacing w:after="60" w:line="240" w:lineRule="auto"/>
        <w:contextualSpacing w:val="0"/>
        <w:rPr>
          <w:rFonts w:ascii="Arial" w:hAnsi="Arial" w:cs="Arial"/>
          <w:bCs/>
        </w:rPr>
      </w:pPr>
      <w:r w:rsidRPr="00401DB2">
        <w:rPr>
          <w:rFonts w:ascii="Arial" w:hAnsi="Arial" w:cs="Arial"/>
          <w:bCs/>
        </w:rPr>
        <w:t>Normal ranges for all parameters need to be established</w:t>
      </w:r>
      <w:r w:rsidR="00F622D6" w:rsidRPr="00401DB2">
        <w:rPr>
          <w:rFonts w:ascii="Arial" w:hAnsi="Arial" w:cs="Arial"/>
          <w:bCs/>
        </w:rPr>
        <w:t xml:space="preserve"> using established positive and negative controls</w:t>
      </w:r>
      <w:r w:rsidRPr="00401DB2">
        <w:rPr>
          <w:rFonts w:ascii="Arial" w:hAnsi="Arial" w:cs="Arial"/>
          <w:bCs/>
        </w:rPr>
        <w:t>.</w:t>
      </w:r>
    </w:p>
    <w:p w:rsidR="00326D91" w:rsidRPr="00401DB2" w:rsidRDefault="00326D91" w:rsidP="00326D91">
      <w:pPr>
        <w:pStyle w:val="ListParagraph"/>
        <w:numPr>
          <w:ilvl w:val="1"/>
          <w:numId w:val="30"/>
        </w:numPr>
        <w:autoSpaceDE w:val="0"/>
        <w:autoSpaceDN w:val="0"/>
        <w:adjustRightInd w:val="0"/>
        <w:spacing w:after="60" w:line="240" w:lineRule="auto"/>
        <w:contextualSpacing w:val="0"/>
        <w:rPr>
          <w:rFonts w:ascii="Arial" w:hAnsi="Arial" w:cs="Arial"/>
          <w:bCs/>
        </w:rPr>
      </w:pPr>
      <w:r w:rsidRPr="00401DB2">
        <w:rPr>
          <w:rFonts w:ascii="Arial" w:hAnsi="Arial" w:cs="Arial"/>
          <w:bCs/>
        </w:rPr>
        <w:t xml:space="preserve">Findings need to be correlated with some type of meaningful </w:t>
      </w:r>
      <w:r w:rsidR="002E6650" w:rsidRPr="00401DB2">
        <w:rPr>
          <w:rFonts w:ascii="Arial" w:hAnsi="Arial" w:cs="Arial"/>
          <w:bCs/>
        </w:rPr>
        <w:t>hazard,</w:t>
      </w:r>
      <w:r w:rsidRPr="00401DB2">
        <w:rPr>
          <w:rFonts w:ascii="Arial" w:hAnsi="Arial" w:cs="Arial"/>
          <w:bCs/>
        </w:rPr>
        <w:t xml:space="preserve"> </w:t>
      </w:r>
      <w:r w:rsidR="007E7A0B" w:rsidRPr="00401DB2">
        <w:rPr>
          <w:rFonts w:ascii="Arial" w:hAnsi="Arial" w:cs="Arial"/>
          <w:bCs/>
        </w:rPr>
        <w:t>risk or health effect.</w:t>
      </w:r>
    </w:p>
    <w:p w:rsidR="00326D91" w:rsidRPr="00401DB2" w:rsidRDefault="00326D91" w:rsidP="00326D91">
      <w:pPr>
        <w:pStyle w:val="ListParagraph"/>
        <w:numPr>
          <w:ilvl w:val="1"/>
          <w:numId w:val="30"/>
        </w:numPr>
        <w:autoSpaceDE w:val="0"/>
        <w:autoSpaceDN w:val="0"/>
        <w:adjustRightInd w:val="0"/>
        <w:spacing w:after="60" w:line="240" w:lineRule="auto"/>
        <w:contextualSpacing w:val="0"/>
        <w:rPr>
          <w:rFonts w:ascii="Arial" w:hAnsi="Arial" w:cs="Arial"/>
          <w:bCs/>
        </w:rPr>
      </w:pPr>
      <w:r w:rsidRPr="00401DB2">
        <w:rPr>
          <w:rFonts w:ascii="Arial" w:hAnsi="Arial" w:cs="Arial"/>
          <w:bCs/>
        </w:rPr>
        <w:t xml:space="preserve">Effects of foods in general on the immune parameters measured must be established so that we can compare the safety of a novel (GM or otherwise) food to </w:t>
      </w:r>
      <w:r w:rsidR="00CC0A27" w:rsidRPr="00401DB2">
        <w:rPr>
          <w:rFonts w:ascii="Arial" w:hAnsi="Arial" w:cs="Arial"/>
          <w:bCs/>
        </w:rPr>
        <w:t xml:space="preserve">conventional varieties </w:t>
      </w:r>
      <w:r w:rsidR="007E7A0B" w:rsidRPr="00401DB2">
        <w:rPr>
          <w:rFonts w:ascii="Arial" w:hAnsi="Arial" w:cs="Arial"/>
          <w:bCs/>
        </w:rPr>
        <w:t>as well as to other food types.</w:t>
      </w:r>
    </w:p>
    <w:sectPr w:rsidR="00326D91" w:rsidRPr="00401DB2" w:rsidSect="0098345B">
      <w:footerReference w:type="default" r:id="rId8"/>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5C" w:rsidRDefault="0015415C" w:rsidP="0098345B">
      <w:pPr>
        <w:spacing w:after="0" w:line="240" w:lineRule="auto"/>
      </w:pPr>
      <w:r>
        <w:separator/>
      </w:r>
    </w:p>
  </w:endnote>
  <w:endnote w:type="continuationSeparator" w:id="1">
    <w:p w:rsidR="0015415C" w:rsidRDefault="0015415C" w:rsidP="0098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37844"/>
      <w:docPartObj>
        <w:docPartGallery w:val="Page Numbers (Bottom of Page)"/>
        <w:docPartUnique/>
      </w:docPartObj>
    </w:sdtPr>
    <w:sdtContent>
      <w:p w:rsidR="0098345B" w:rsidRDefault="00FA79BA" w:rsidP="0098345B">
        <w:pPr>
          <w:pStyle w:val="Footer"/>
          <w:jc w:val="center"/>
        </w:pPr>
        <w:r>
          <w:fldChar w:fldCharType="begin"/>
        </w:r>
        <w:r w:rsidR="0098345B">
          <w:instrText xml:space="preserve"> PAGE   \* MERGEFORMAT </w:instrText>
        </w:r>
        <w:r>
          <w:fldChar w:fldCharType="separate"/>
        </w:r>
        <w:r w:rsidR="00700360">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5C" w:rsidRDefault="0015415C" w:rsidP="0098345B">
      <w:pPr>
        <w:spacing w:after="0" w:line="240" w:lineRule="auto"/>
      </w:pPr>
      <w:r>
        <w:separator/>
      </w:r>
    </w:p>
  </w:footnote>
  <w:footnote w:type="continuationSeparator" w:id="1">
    <w:p w:rsidR="0015415C" w:rsidRDefault="0015415C" w:rsidP="0098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38D6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10E5E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B61B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B020F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8444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044A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E8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8BB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8A44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32CD82"/>
    <w:lvl w:ilvl="0">
      <w:start w:val="1"/>
      <w:numFmt w:val="bullet"/>
      <w:lvlText w:val=""/>
      <w:lvlJc w:val="left"/>
      <w:pPr>
        <w:tabs>
          <w:tab w:val="num" w:pos="360"/>
        </w:tabs>
        <w:ind w:left="360" w:hanging="360"/>
      </w:pPr>
      <w:rPr>
        <w:rFonts w:ascii="Symbol" w:hAnsi="Symbol" w:hint="default"/>
      </w:rPr>
    </w:lvl>
  </w:abstractNum>
  <w:abstractNum w:abstractNumId="10">
    <w:nsid w:val="0190301E"/>
    <w:multiLevelType w:val="hybridMultilevel"/>
    <w:tmpl w:val="262CD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7101E54"/>
    <w:multiLevelType w:val="hybridMultilevel"/>
    <w:tmpl w:val="714E2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23B1DB6"/>
    <w:multiLevelType w:val="hybridMultilevel"/>
    <w:tmpl w:val="03B80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40F2FA5"/>
    <w:multiLevelType w:val="hybridMultilevel"/>
    <w:tmpl w:val="141E3B76"/>
    <w:lvl w:ilvl="0" w:tplc="3DB6F98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016A18"/>
    <w:multiLevelType w:val="hybridMultilevel"/>
    <w:tmpl w:val="F1BC5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E95445"/>
    <w:multiLevelType w:val="hybridMultilevel"/>
    <w:tmpl w:val="61161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C0502B2"/>
    <w:multiLevelType w:val="hybridMultilevel"/>
    <w:tmpl w:val="0798D3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D8169F1"/>
    <w:multiLevelType w:val="hybridMultilevel"/>
    <w:tmpl w:val="1876C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D7408F"/>
    <w:multiLevelType w:val="hybridMultilevel"/>
    <w:tmpl w:val="E51E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F7CD1"/>
    <w:multiLevelType w:val="hybridMultilevel"/>
    <w:tmpl w:val="F95E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21ADB"/>
    <w:multiLevelType w:val="hybridMultilevel"/>
    <w:tmpl w:val="E2C2C1C8"/>
    <w:lvl w:ilvl="0" w:tplc="7032CD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28549D"/>
    <w:multiLevelType w:val="hybridMultilevel"/>
    <w:tmpl w:val="B6FA1962"/>
    <w:lvl w:ilvl="0" w:tplc="1C985D72">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2">
    <w:nsid w:val="4A712771"/>
    <w:multiLevelType w:val="hybridMultilevel"/>
    <w:tmpl w:val="AC02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615A3C"/>
    <w:multiLevelType w:val="hybridMultilevel"/>
    <w:tmpl w:val="492CA0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91F2F"/>
    <w:multiLevelType w:val="hybridMultilevel"/>
    <w:tmpl w:val="83F4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E7CEF"/>
    <w:multiLevelType w:val="hybridMultilevel"/>
    <w:tmpl w:val="638098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C37034F"/>
    <w:multiLevelType w:val="hybridMultilevel"/>
    <w:tmpl w:val="4DF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F78BD"/>
    <w:multiLevelType w:val="hybridMultilevel"/>
    <w:tmpl w:val="0E8C90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43663"/>
    <w:multiLevelType w:val="hybridMultilevel"/>
    <w:tmpl w:val="4D9E0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57492B"/>
    <w:multiLevelType w:val="hybridMultilevel"/>
    <w:tmpl w:val="6054C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184355"/>
    <w:multiLevelType w:val="hybridMultilevel"/>
    <w:tmpl w:val="0156A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1F3C43"/>
    <w:multiLevelType w:val="hybridMultilevel"/>
    <w:tmpl w:val="4982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B05109"/>
    <w:multiLevelType w:val="hybridMultilevel"/>
    <w:tmpl w:val="FFDC3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22"/>
  </w:num>
  <w:num w:numId="18">
    <w:abstractNumId w:val="31"/>
  </w:num>
  <w:num w:numId="19">
    <w:abstractNumId w:val="29"/>
  </w:num>
  <w:num w:numId="20">
    <w:abstractNumId w:val="18"/>
  </w:num>
  <w:num w:numId="21">
    <w:abstractNumId w:val="28"/>
  </w:num>
  <w:num w:numId="22">
    <w:abstractNumId w:val="14"/>
  </w:num>
  <w:num w:numId="23">
    <w:abstractNumId w:val="27"/>
  </w:num>
  <w:num w:numId="24">
    <w:abstractNumId w:val="23"/>
  </w:num>
  <w:num w:numId="25">
    <w:abstractNumId w:val="16"/>
  </w:num>
  <w:num w:numId="26">
    <w:abstractNumId w:val="25"/>
  </w:num>
  <w:num w:numId="27">
    <w:abstractNumId w:val="12"/>
  </w:num>
  <w:num w:numId="28">
    <w:abstractNumId w:val="30"/>
  </w:num>
  <w:num w:numId="29">
    <w:abstractNumId w:val="11"/>
  </w:num>
  <w:num w:numId="30">
    <w:abstractNumId w:val="24"/>
  </w:num>
  <w:num w:numId="31">
    <w:abstractNumId w:val="19"/>
  </w:num>
  <w:num w:numId="32">
    <w:abstractNumId w:val="2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5B6"/>
    <w:rsid w:val="00013320"/>
    <w:rsid w:val="00017E28"/>
    <w:rsid w:val="000816E2"/>
    <w:rsid w:val="00087CB7"/>
    <w:rsid w:val="00093919"/>
    <w:rsid w:val="00094144"/>
    <w:rsid w:val="00096608"/>
    <w:rsid w:val="000A2F8F"/>
    <w:rsid w:val="000A4711"/>
    <w:rsid w:val="000A512D"/>
    <w:rsid w:val="000E26EC"/>
    <w:rsid w:val="000E34E8"/>
    <w:rsid w:val="001271C7"/>
    <w:rsid w:val="00143A54"/>
    <w:rsid w:val="00150DB5"/>
    <w:rsid w:val="0015415C"/>
    <w:rsid w:val="00164CC4"/>
    <w:rsid w:val="001652B0"/>
    <w:rsid w:val="00173522"/>
    <w:rsid w:val="00191016"/>
    <w:rsid w:val="00195902"/>
    <w:rsid w:val="0019717E"/>
    <w:rsid w:val="001B7499"/>
    <w:rsid w:val="001D157A"/>
    <w:rsid w:val="002154BC"/>
    <w:rsid w:val="00216E5D"/>
    <w:rsid w:val="0022022A"/>
    <w:rsid w:val="00227E2F"/>
    <w:rsid w:val="00232832"/>
    <w:rsid w:val="00240769"/>
    <w:rsid w:val="0024131B"/>
    <w:rsid w:val="00244287"/>
    <w:rsid w:val="00293D06"/>
    <w:rsid w:val="002A43F1"/>
    <w:rsid w:val="002B4889"/>
    <w:rsid w:val="002C0510"/>
    <w:rsid w:val="002C17A0"/>
    <w:rsid w:val="002C5026"/>
    <w:rsid w:val="002D2433"/>
    <w:rsid w:val="002E6650"/>
    <w:rsid w:val="003204F0"/>
    <w:rsid w:val="00321C20"/>
    <w:rsid w:val="00326D91"/>
    <w:rsid w:val="0033133B"/>
    <w:rsid w:val="00346A71"/>
    <w:rsid w:val="00347EFF"/>
    <w:rsid w:val="00353F6F"/>
    <w:rsid w:val="00355B2A"/>
    <w:rsid w:val="00364190"/>
    <w:rsid w:val="003A278C"/>
    <w:rsid w:val="003B1BFA"/>
    <w:rsid w:val="003C105D"/>
    <w:rsid w:val="003D1D3C"/>
    <w:rsid w:val="00401DB2"/>
    <w:rsid w:val="00414848"/>
    <w:rsid w:val="00417F98"/>
    <w:rsid w:val="00421A6D"/>
    <w:rsid w:val="00423455"/>
    <w:rsid w:val="00425315"/>
    <w:rsid w:val="00432FC0"/>
    <w:rsid w:val="004557AA"/>
    <w:rsid w:val="00490B86"/>
    <w:rsid w:val="00491C27"/>
    <w:rsid w:val="00491E45"/>
    <w:rsid w:val="004A2EEC"/>
    <w:rsid w:val="004E3DC1"/>
    <w:rsid w:val="004F1B64"/>
    <w:rsid w:val="004F79F3"/>
    <w:rsid w:val="0050443A"/>
    <w:rsid w:val="00504A66"/>
    <w:rsid w:val="005220F8"/>
    <w:rsid w:val="00523793"/>
    <w:rsid w:val="005300F5"/>
    <w:rsid w:val="00547A18"/>
    <w:rsid w:val="00552D68"/>
    <w:rsid w:val="00560294"/>
    <w:rsid w:val="00596D1A"/>
    <w:rsid w:val="005A2012"/>
    <w:rsid w:val="005A274A"/>
    <w:rsid w:val="005A5EFA"/>
    <w:rsid w:val="005D10B9"/>
    <w:rsid w:val="005F4761"/>
    <w:rsid w:val="005F7248"/>
    <w:rsid w:val="0060236C"/>
    <w:rsid w:val="0065021B"/>
    <w:rsid w:val="00650F90"/>
    <w:rsid w:val="00654065"/>
    <w:rsid w:val="0065515A"/>
    <w:rsid w:val="006619E1"/>
    <w:rsid w:val="00685C52"/>
    <w:rsid w:val="00687941"/>
    <w:rsid w:val="00697CEE"/>
    <w:rsid w:val="006D5866"/>
    <w:rsid w:val="007002B8"/>
    <w:rsid w:val="00700360"/>
    <w:rsid w:val="00703C4E"/>
    <w:rsid w:val="00706CA2"/>
    <w:rsid w:val="00714EE6"/>
    <w:rsid w:val="00720431"/>
    <w:rsid w:val="007378D8"/>
    <w:rsid w:val="00755934"/>
    <w:rsid w:val="007665FF"/>
    <w:rsid w:val="00784389"/>
    <w:rsid w:val="00790FE8"/>
    <w:rsid w:val="007A386F"/>
    <w:rsid w:val="007D4111"/>
    <w:rsid w:val="007E7A0B"/>
    <w:rsid w:val="00817979"/>
    <w:rsid w:val="00823EE9"/>
    <w:rsid w:val="0084064A"/>
    <w:rsid w:val="008430C4"/>
    <w:rsid w:val="00847FA5"/>
    <w:rsid w:val="00855448"/>
    <w:rsid w:val="0088049B"/>
    <w:rsid w:val="00881864"/>
    <w:rsid w:val="008C1174"/>
    <w:rsid w:val="008E273D"/>
    <w:rsid w:val="008E4B8E"/>
    <w:rsid w:val="008F44DA"/>
    <w:rsid w:val="00904D3D"/>
    <w:rsid w:val="00910DBD"/>
    <w:rsid w:val="00911687"/>
    <w:rsid w:val="00917D32"/>
    <w:rsid w:val="009528FE"/>
    <w:rsid w:val="00971717"/>
    <w:rsid w:val="00982E12"/>
    <w:rsid w:val="0098345B"/>
    <w:rsid w:val="009A6BEA"/>
    <w:rsid w:val="009C42DA"/>
    <w:rsid w:val="009E0CB0"/>
    <w:rsid w:val="009F1E46"/>
    <w:rsid w:val="009F2072"/>
    <w:rsid w:val="00A00D99"/>
    <w:rsid w:val="00A140C8"/>
    <w:rsid w:val="00A15F74"/>
    <w:rsid w:val="00A55FC1"/>
    <w:rsid w:val="00A60771"/>
    <w:rsid w:val="00A61EF5"/>
    <w:rsid w:val="00A73275"/>
    <w:rsid w:val="00A92DAA"/>
    <w:rsid w:val="00A9561E"/>
    <w:rsid w:val="00AC2419"/>
    <w:rsid w:val="00AC28CC"/>
    <w:rsid w:val="00AC53F0"/>
    <w:rsid w:val="00AE58F7"/>
    <w:rsid w:val="00B31850"/>
    <w:rsid w:val="00B52379"/>
    <w:rsid w:val="00B60D63"/>
    <w:rsid w:val="00B62067"/>
    <w:rsid w:val="00B91A82"/>
    <w:rsid w:val="00B94704"/>
    <w:rsid w:val="00BC6AFB"/>
    <w:rsid w:val="00BD1534"/>
    <w:rsid w:val="00BE6CCA"/>
    <w:rsid w:val="00BF377A"/>
    <w:rsid w:val="00BF48A5"/>
    <w:rsid w:val="00C2351F"/>
    <w:rsid w:val="00C27DCB"/>
    <w:rsid w:val="00C34FD8"/>
    <w:rsid w:val="00C53AF1"/>
    <w:rsid w:val="00C56654"/>
    <w:rsid w:val="00CC0A27"/>
    <w:rsid w:val="00CD10AC"/>
    <w:rsid w:val="00CF0256"/>
    <w:rsid w:val="00CF501B"/>
    <w:rsid w:val="00D035E4"/>
    <w:rsid w:val="00D1300A"/>
    <w:rsid w:val="00D17FA2"/>
    <w:rsid w:val="00D432DC"/>
    <w:rsid w:val="00D46E16"/>
    <w:rsid w:val="00D72877"/>
    <w:rsid w:val="00DA45B6"/>
    <w:rsid w:val="00DB6C6C"/>
    <w:rsid w:val="00DB7FC3"/>
    <w:rsid w:val="00DD0C18"/>
    <w:rsid w:val="00DD1B00"/>
    <w:rsid w:val="00DE062A"/>
    <w:rsid w:val="00DF0C19"/>
    <w:rsid w:val="00DF6E64"/>
    <w:rsid w:val="00E03FC4"/>
    <w:rsid w:val="00E12001"/>
    <w:rsid w:val="00E2345D"/>
    <w:rsid w:val="00E265A1"/>
    <w:rsid w:val="00E335D2"/>
    <w:rsid w:val="00E61C85"/>
    <w:rsid w:val="00E6597B"/>
    <w:rsid w:val="00E71ABD"/>
    <w:rsid w:val="00EA47F2"/>
    <w:rsid w:val="00EC14D4"/>
    <w:rsid w:val="00ED2BD7"/>
    <w:rsid w:val="00EE64CA"/>
    <w:rsid w:val="00F0335A"/>
    <w:rsid w:val="00F061DD"/>
    <w:rsid w:val="00F06E12"/>
    <w:rsid w:val="00F13533"/>
    <w:rsid w:val="00F34257"/>
    <w:rsid w:val="00F35BD6"/>
    <w:rsid w:val="00F3615D"/>
    <w:rsid w:val="00F44ACF"/>
    <w:rsid w:val="00F622D6"/>
    <w:rsid w:val="00F6462B"/>
    <w:rsid w:val="00F77FF4"/>
    <w:rsid w:val="00F9432A"/>
    <w:rsid w:val="00F960F3"/>
    <w:rsid w:val="00FA6DDE"/>
    <w:rsid w:val="00FA79BA"/>
    <w:rsid w:val="00FC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2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B6"/>
    <w:pPr>
      <w:ind w:left="720"/>
      <w:contextualSpacing/>
    </w:pPr>
  </w:style>
  <w:style w:type="character" w:styleId="Hyperlink">
    <w:name w:val="Hyperlink"/>
    <w:basedOn w:val="DefaultParagraphFont"/>
    <w:rsid w:val="00650F90"/>
    <w:rPr>
      <w:rFonts w:cs="Times New Roman"/>
      <w:color w:val="0000FF"/>
      <w:u w:val="single"/>
    </w:rPr>
  </w:style>
  <w:style w:type="paragraph" w:styleId="BalloonText">
    <w:name w:val="Balloon Text"/>
    <w:basedOn w:val="Normal"/>
    <w:link w:val="BalloonTextChar"/>
    <w:semiHidden/>
    <w:rsid w:val="0019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7E"/>
    <w:rPr>
      <w:rFonts w:ascii="Tahoma" w:hAnsi="Tahoma" w:cs="Tahoma"/>
      <w:sz w:val="16"/>
      <w:szCs w:val="16"/>
    </w:rPr>
  </w:style>
  <w:style w:type="paragraph" w:styleId="BodyTextIndent">
    <w:name w:val="Body Text Indent"/>
    <w:basedOn w:val="Normal"/>
    <w:link w:val="BodyTextIndentChar"/>
    <w:semiHidden/>
    <w:rsid w:val="002D2433"/>
    <w:pPr>
      <w:autoSpaceDE w:val="0"/>
      <w:autoSpaceDN w:val="0"/>
      <w:spacing w:after="0" w:line="240" w:lineRule="auto"/>
    </w:pPr>
    <w:rPr>
      <w:rFonts w:ascii="Times New Roman" w:hAnsi="Times New Roman"/>
      <w:b/>
      <w:bCs/>
      <w:color w:val="0000FF"/>
    </w:rPr>
  </w:style>
  <w:style w:type="character" w:customStyle="1" w:styleId="BodyTextIndentChar">
    <w:name w:val="Body Text Indent Char"/>
    <w:basedOn w:val="DefaultParagraphFont"/>
    <w:link w:val="BodyTextIndent"/>
    <w:semiHidden/>
    <w:rsid w:val="002D2433"/>
    <w:rPr>
      <w:rFonts w:ascii="Times New Roman" w:eastAsia="Times New Roman" w:hAnsi="Times New Roman" w:cs="Times New Roman"/>
      <w:b/>
      <w:bCs/>
      <w:color w:val="0000FF"/>
      <w:sz w:val="22"/>
      <w:szCs w:val="22"/>
    </w:rPr>
  </w:style>
  <w:style w:type="character" w:styleId="CommentReference">
    <w:name w:val="annotation reference"/>
    <w:basedOn w:val="DefaultParagraphFont"/>
    <w:semiHidden/>
    <w:rsid w:val="002D2433"/>
    <w:rPr>
      <w:rFonts w:cs="Times New Roman"/>
      <w:sz w:val="16"/>
      <w:szCs w:val="16"/>
    </w:rPr>
  </w:style>
  <w:style w:type="paragraph" w:styleId="CommentText">
    <w:name w:val="annotation text"/>
    <w:basedOn w:val="Normal"/>
    <w:link w:val="CommentTextChar"/>
    <w:semiHidden/>
    <w:rsid w:val="002D2433"/>
    <w:pPr>
      <w:spacing w:line="240" w:lineRule="auto"/>
    </w:pPr>
    <w:rPr>
      <w:sz w:val="20"/>
      <w:szCs w:val="20"/>
    </w:rPr>
  </w:style>
  <w:style w:type="character" w:customStyle="1" w:styleId="CommentTextChar">
    <w:name w:val="Comment Text Char"/>
    <w:basedOn w:val="DefaultParagraphFont"/>
    <w:link w:val="CommentText"/>
    <w:semiHidden/>
    <w:rsid w:val="002D2433"/>
    <w:rPr>
      <w:rFonts w:cs="Times New Roman"/>
    </w:rPr>
  </w:style>
  <w:style w:type="paragraph" w:styleId="CommentSubject">
    <w:name w:val="annotation subject"/>
    <w:basedOn w:val="CommentText"/>
    <w:next w:val="CommentText"/>
    <w:link w:val="CommentSubjectChar"/>
    <w:semiHidden/>
    <w:rsid w:val="002D2433"/>
    <w:rPr>
      <w:b/>
      <w:bCs/>
    </w:rPr>
  </w:style>
  <w:style w:type="character" w:customStyle="1" w:styleId="CommentSubjectChar">
    <w:name w:val="Comment Subject Char"/>
    <w:basedOn w:val="CommentTextChar"/>
    <w:link w:val="CommentSubject"/>
    <w:semiHidden/>
    <w:rsid w:val="002D2433"/>
    <w:rPr>
      <w:b/>
      <w:bCs/>
    </w:rPr>
  </w:style>
  <w:style w:type="character" w:styleId="FollowedHyperlink">
    <w:name w:val="FollowedHyperlink"/>
    <w:basedOn w:val="DefaultParagraphFont"/>
    <w:semiHidden/>
    <w:rsid w:val="00847FA5"/>
    <w:rPr>
      <w:rFonts w:cs="Times New Roman"/>
      <w:color w:val="800080"/>
      <w:u w:val="single"/>
    </w:rPr>
  </w:style>
  <w:style w:type="paragraph" w:styleId="PlainText">
    <w:name w:val="Plain Text"/>
    <w:basedOn w:val="Normal"/>
    <w:link w:val="PlainTextChar"/>
    <w:uiPriority w:val="99"/>
    <w:unhideWhenUsed/>
    <w:rsid w:val="00A92DA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92DAA"/>
    <w:rPr>
      <w:rFonts w:ascii="Consolas" w:eastAsiaTheme="minorHAnsi" w:hAnsi="Consolas" w:cstheme="minorBidi"/>
      <w:sz w:val="21"/>
      <w:szCs w:val="21"/>
    </w:rPr>
  </w:style>
  <w:style w:type="paragraph" w:styleId="Revision">
    <w:name w:val="Revision"/>
    <w:hidden/>
    <w:uiPriority w:val="99"/>
    <w:semiHidden/>
    <w:rsid w:val="00C27DCB"/>
    <w:rPr>
      <w:rFonts w:eastAsia="Times New Roman"/>
      <w:sz w:val="22"/>
      <w:szCs w:val="22"/>
    </w:rPr>
  </w:style>
  <w:style w:type="paragraph" w:styleId="Header">
    <w:name w:val="header"/>
    <w:basedOn w:val="Normal"/>
    <w:link w:val="HeaderChar"/>
    <w:uiPriority w:val="99"/>
    <w:semiHidden/>
    <w:unhideWhenUsed/>
    <w:rsid w:val="00983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45B"/>
    <w:rPr>
      <w:rFonts w:eastAsia="Times New Roman"/>
      <w:sz w:val="22"/>
      <w:szCs w:val="22"/>
    </w:rPr>
  </w:style>
  <w:style w:type="paragraph" w:styleId="Footer">
    <w:name w:val="footer"/>
    <w:basedOn w:val="Normal"/>
    <w:link w:val="FooterChar"/>
    <w:uiPriority w:val="99"/>
    <w:unhideWhenUsed/>
    <w:rsid w:val="0098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5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32567764">
      <w:bodyDiv w:val="1"/>
      <w:marLeft w:val="0"/>
      <w:marRight w:val="0"/>
      <w:marTop w:val="0"/>
      <w:marBottom w:val="0"/>
      <w:divBdr>
        <w:top w:val="none" w:sz="0" w:space="0" w:color="auto"/>
        <w:left w:val="none" w:sz="0" w:space="0" w:color="auto"/>
        <w:bottom w:val="none" w:sz="0" w:space="0" w:color="auto"/>
        <w:right w:val="none" w:sz="0" w:space="0" w:color="auto"/>
      </w:divBdr>
    </w:div>
    <w:div w:id="1497375814">
      <w:bodyDiv w:val="1"/>
      <w:marLeft w:val="0"/>
      <w:marRight w:val="0"/>
      <w:marTop w:val="0"/>
      <w:marBottom w:val="0"/>
      <w:divBdr>
        <w:top w:val="none" w:sz="0" w:space="0" w:color="auto"/>
        <w:left w:val="none" w:sz="0" w:space="0" w:color="auto"/>
        <w:bottom w:val="none" w:sz="0" w:space="0" w:color="auto"/>
        <w:right w:val="none" w:sz="0" w:space="0" w:color="auto"/>
      </w:divBdr>
    </w:div>
    <w:div w:id="1730303736">
      <w:bodyDiv w:val="1"/>
      <w:marLeft w:val="0"/>
      <w:marRight w:val="0"/>
      <w:marTop w:val="0"/>
      <w:marBottom w:val="0"/>
      <w:divBdr>
        <w:top w:val="none" w:sz="0" w:space="0" w:color="auto"/>
        <w:left w:val="none" w:sz="0" w:space="0" w:color="auto"/>
        <w:bottom w:val="none" w:sz="0" w:space="0" w:color="auto"/>
        <w:right w:val="none" w:sz="0" w:space="0" w:color="auto"/>
      </w:divBdr>
    </w:div>
    <w:div w:id="1814564398">
      <w:bodyDiv w:val="1"/>
      <w:marLeft w:val="0"/>
      <w:marRight w:val="0"/>
      <w:marTop w:val="0"/>
      <w:marBottom w:val="0"/>
      <w:divBdr>
        <w:top w:val="none" w:sz="0" w:space="0" w:color="auto"/>
        <w:left w:val="none" w:sz="0" w:space="0" w:color="auto"/>
        <w:bottom w:val="none" w:sz="0" w:space="0" w:color="auto"/>
        <w:right w:val="none" w:sz="0" w:space="0" w:color="auto"/>
      </w:divBdr>
      <w:divsChild>
        <w:div w:id="496458047">
          <w:marLeft w:val="0"/>
          <w:marRight w:val="0"/>
          <w:marTop w:val="150"/>
          <w:marBottom w:val="300"/>
          <w:divBdr>
            <w:top w:val="none" w:sz="0" w:space="0" w:color="auto"/>
            <w:left w:val="none" w:sz="0" w:space="0" w:color="auto"/>
            <w:bottom w:val="none" w:sz="0" w:space="0" w:color="auto"/>
            <w:right w:val="none" w:sz="0" w:space="0" w:color="auto"/>
          </w:divBdr>
          <w:divsChild>
            <w:div w:id="1625037897">
              <w:marLeft w:val="0"/>
              <w:marRight w:val="0"/>
              <w:marTop w:val="0"/>
              <w:marBottom w:val="105"/>
              <w:divBdr>
                <w:top w:val="none" w:sz="0" w:space="0" w:color="auto"/>
                <w:left w:val="none" w:sz="0" w:space="0" w:color="auto"/>
                <w:bottom w:val="none" w:sz="0" w:space="0" w:color="auto"/>
                <w:right w:val="none" w:sz="0" w:space="0" w:color="auto"/>
              </w:divBdr>
              <w:divsChild>
                <w:div w:id="585653784">
                  <w:marLeft w:val="75"/>
                  <w:marRight w:val="0"/>
                  <w:marTop w:val="0"/>
                  <w:marBottom w:val="300"/>
                  <w:divBdr>
                    <w:top w:val="single" w:sz="6" w:space="0" w:color="B6B6E1"/>
                    <w:left w:val="single" w:sz="6" w:space="0" w:color="B6B6E1"/>
                    <w:bottom w:val="single" w:sz="6" w:space="0" w:color="B6B6E1"/>
                    <w:right w:val="single" w:sz="6" w:space="0" w:color="B6B6E1"/>
                  </w:divBdr>
                  <w:divsChild>
                    <w:div w:id="1550069444">
                      <w:marLeft w:val="150"/>
                      <w:marRight w:val="0"/>
                      <w:marTop w:val="0"/>
                      <w:marBottom w:val="0"/>
                      <w:divBdr>
                        <w:top w:val="none" w:sz="0" w:space="0" w:color="auto"/>
                        <w:left w:val="none" w:sz="0" w:space="0" w:color="auto"/>
                        <w:bottom w:val="none" w:sz="0" w:space="0" w:color="auto"/>
                        <w:right w:val="none" w:sz="0" w:space="0" w:color="auto"/>
                      </w:divBdr>
                      <w:divsChild>
                        <w:div w:id="2072266529">
                          <w:marLeft w:val="0"/>
                          <w:marRight w:val="0"/>
                          <w:marTop w:val="0"/>
                          <w:marBottom w:val="0"/>
                          <w:divBdr>
                            <w:top w:val="none" w:sz="0" w:space="0" w:color="auto"/>
                            <w:left w:val="none" w:sz="0" w:space="0" w:color="auto"/>
                            <w:bottom w:val="none" w:sz="0" w:space="0" w:color="auto"/>
                            <w:right w:val="none" w:sz="0" w:space="0" w:color="auto"/>
                          </w:divBdr>
                          <w:divsChild>
                            <w:div w:id="956645397">
                              <w:marLeft w:val="0"/>
                              <w:marRight w:val="0"/>
                              <w:marTop w:val="75"/>
                              <w:marBottom w:val="75"/>
                              <w:divBdr>
                                <w:top w:val="single" w:sz="6" w:space="0" w:color="BBC5DF"/>
                                <w:left w:val="single" w:sz="6" w:space="0" w:color="BBC5DF"/>
                                <w:bottom w:val="single" w:sz="6" w:space="0" w:color="BBC5DF"/>
                                <w:right w:val="single" w:sz="6" w:space="0" w:color="BBC5DF"/>
                              </w:divBdr>
                            </w:div>
                          </w:divsChild>
                        </w:div>
                      </w:divsChild>
                    </w:div>
                  </w:divsChild>
                </w:div>
              </w:divsChild>
            </w:div>
          </w:divsChild>
        </w:div>
      </w:divsChild>
    </w:div>
    <w:div w:id="20844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s.acs.org/doi/abs/10.1021/jf80205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AUSTRIA STUDY - TALKING POINTS </vt:lpstr>
    </vt:vector>
  </TitlesOfParts>
  <Company>Monsanto</Company>
  <LinksUpToDate>false</LinksUpToDate>
  <CharactersWithSpaces>7631</CharactersWithSpaces>
  <SharedDoc>false</SharedDoc>
  <HLinks>
    <vt:vector size="18" baseType="variant">
      <vt:variant>
        <vt:i4>3735612</vt:i4>
      </vt:variant>
      <vt:variant>
        <vt:i4>6</vt:i4>
      </vt:variant>
      <vt:variant>
        <vt:i4>0</vt:i4>
      </vt:variant>
      <vt:variant>
        <vt:i4>5</vt:i4>
      </vt:variant>
      <vt:variant>
        <vt:lpwstr>http://www.gmobelus.com/news.php?viewStory=276</vt:lpwstr>
      </vt:variant>
      <vt:variant>
        <vt:lpwstr/>
      </vt:variant>
      <vt:variant>
        <vt:i4>3211270</vt:i4>
      </vt:variant>
      <vt:variant>
        <vt:i4>3</vt:i4>
      </vt:variant>
      <vt:variant>
        <vt:i4>0</vt:i4>
      </vt:variant>
      <vt:variant>
        <vt:i4>5</vt:i4>
      </vt:variant>
      <vt:variant>
        <vt:lpwstr>http://www.cropgen.org/article_203.html</vt:lpwstr>
      </vt:variant>
      <vt:variant>
        <vt:lpwstr/>
      </vt:variant>
      <vt:variant>
        <vt:i4>1048642</vt:i4>
      </vt:variant>
      <vt:variant>
        <vt:i4>0</vt:i4>
      </vt:variant>
      <vt:variant>
        <vt:i4>0</vt:i4>
      </vt:variant>
      <vt:variant>
        <vt:i4>5</vt:i4>
      </vt:variant>
      <vt:variant>
        <vt:lpwstr>http://monsanto.mediaroom.com/index.php?s=43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 STUDY - TALKING POINTS</dc:title>
  <dc:creator>John C. Combest</dc:creator>
  <cp:lastModifiedBy>sshantha</cp:lastModifiedBy>
  <cp:revision>2</cp:revision>
  <cp:lastPrinted>2008-12-03T21:26:00Z</cp:lastPrinted>
  <dcterms:created xsi:type="dcterms:W3CDTF">2008-12-04T20:48:00Z</dcterms:created>
  <dcterms:modified xsi:type="dcterms:W3CDTF">2008-12-04T20:48:00Z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-1006214842</vt:i4>
  </property>
  <property fmtid="{D5CDD505-2E9C-101B-9397-08002B2CF9AE}" pid="4" name="_EmailSubject">
    <vt:lpwstr>Finamore et al. 2008 - "Intestinal and Peripheral Immune Response to MON810 Maize Ingestion in Weaning and Old Mice"</vt:lpwstr>
  </property>
  <property fmtid="{D5CDD505-2E9C-101B-9397-08002B2CF9AE}" pid="5" name="_AuthorEmail">
    <vt:lpwstr>f.andy.hedgecock@monsanto.com</vt:lpwstr>
  </property>
  <property fmtid="{D5CDD505-2E9C-101B-9397-08002B2CF9AE}" pid="6" name="_AuthorEmailDisplayName">
    <vt:lpwstr>HEDGECOCK, F ANDY [AG/1000]</vt:lpwstr>
  </property>
  <property fmtid="{D5CDD505-2E9C-101B-9397-08002B2CF9AE}" pid="7" name="_PreviousAdHocReviewCycleID">
    <vt:i4>-48048952</vt:i4>
  </property>
  <property fmtid="{D5CDD505-2E9C-101B-9397-08002B2CF9AE}" pid="8" name="_ReviewingToolsShownOnce">
    <vt:lpwstr/>
  </property>
</Properties>
</file>